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1B6" w:rsidRDefault="00FE31B6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  <w:lang w:val="en-US"/>
        </w:rPr>
      </w:pPr>
      <w:bookmarkStart w:id="0" w:name="_GoBack"/>
      <w:bookmarkEnd w:id="0"/>
    </w:p>
    <w:p w:rsidR="00F4075A" w:rsidRDefault="00F4075A" w:rsidP="00F4075A">
      <w:r>
        <w:t xml:space="preserve">                                                                          </w:t>
      </w:r>
      <w:r>
        <w:rPr>
          <w:noProof/>
          <w:lang w:eastAsia="bg-BG"/>
        </w:rPr>
        <w:drawing>
          <wp:inline distT="0" distB="0" distL="0" distR="0" wp14:anchorId="4FD7DFDE" wp14:editId="27B42922">
            <wp:extent cx="1114425" cy="1066800"/>
            <wp:effectExtent l="0" t="0" r="9525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F4075A" w:rsidRPr="00721F2C" w:rsidRDefault="00F4075A" w:rsidP="00F4075A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color w:val="000000"/>
          <w:spacing w:val="15"/>
          <w:sz w:val="32"/>
          <w:szCs w:val="32"/>
          <w:lang w:val="en-US"/>
        </w:rPr>
      </w:pPr>
      <w:r w:rsidRPr="00721F2C">
        <w:rPr>
          <w:rFonts w:ascii="Times New Roman CYR" w:eastAsia="Times New Roman" w:hAnsi="Times New Roman CYR" w:cs="Times New Roman CYR"/>
          <w:b/>
          <w:bCs/>
          <w:caps/>
          <w:color w:val="000000"/>
          <w:spacing w:val="15"/>
          <w:sz w:val="32"/>
          <w:szCs w:val="32"/>
          <w:lang w:val="en-US"/>
        </w:rPr>
        <w:t>Р е п у б л и к а   б ъ л г а р и я</w:t>
      </w:r>
    </w:p>
    <w:p w:rsidR="00F4075A" w:rsidRPr="00F4075A" w:rsidRDefault="00F4075A" w:rsidP="00F4075A">
      <w:pPr>
        <w:pBdr>
          <w:bottom w:val="single" w:sz="4" w:space="1" w:color="auto"/>
        </w:pBdr>
        <w:autoSpaceDE w:val="0"/>
        <w:autoSpaceDN w:val="0"/>
        <w:adjustRightInd w:val="0"/>
        <w:spacing w:after="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en-US"/>
        </w:rPr>
      </w:pP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ru-RU"/>
        </w:rPr>
        <w:t>ОБЛАСТ</w:t>
      </w: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en-US"/>
        </w:rPr>
        <w:t>E</w:t>
      </w: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  <w:lang w:val="ru-RU"/>
        </w:rPr>
        <w:t xml:space="preserve">Н УПРАВИТЕЛ НА ОБЛАСТ </w:t>
      </w:r>
      <w:r w:rsidRPr="00721F2C"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>ХАСКОВО</w:t>
      </w: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AC5988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  <w:r>
        <w:rPr>
          <w:noProof/>
          <w:lang w:eastAsia="bg-BG"/>
        </w:rPr>
        <w:drawing>
          <wp:inline distT="0" distB="0" distL="0" distR="0" wp14:anchorId="3EEAF0CF" wp14:editId="56251807">
            <wp:extent cx="5760720" cy="4300713"/>
            <wp:effectExtent l="0" t="0" r="0" b="5080"/>
            <wp:docPr id="6" name="Картина 6" descr="F:\ЗЕЕ - нац. план и стратегия\EnergyEfficien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ЕЕ - нац. план и стратегия\EnergyEfficienc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988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E752B">
        <w:rPr>
          <w:rFonts w:ascii="Times New Roman" w:hAnsi="Times New Roman" w:cs="Times New Roman"/>
          <w:b/>
          <w:sz w:val="28"/>
          <w:szCs w:val="28"/>
        </w:rPr>
        <w:t xml:space="preserve">ПРОГРАМА ЗА ЕНЕРГИЙНА ЕФЕКТИВНОСТ </w:t>
      </w:r>
    </w:p>
    <w:p w:rsidR="00AC5988" w:rsidRPr="002E752B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ПЕРИОДА 2020-202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5</w:t>
      </w:r>
      <w:r w:rsidRPr="002E752B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AC5988" w:rsidRPr="002E752B" w:rsidRDefault="00AC5988" w:rsidP="00AC598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52B">
        <w:rPr>
          <w:rFonts w:ascii="Times New Roman" w:hAnsi="Times New Roman" w:cs="Times New Roman"/>
          <w:b/>
          <w:sz w:val="28"/>
          <w:szCs w:val="28"/>
        </w:rPr>
        <w:t>ОБЛАСТНА АДМИНИСТРАЦИЯ  ХАСКОВО</w:t>
      </w:r>
    </w:p>
    <w:p w:rsidR="00F4075A" w:rsidRDefault="00F4075A" w:rsidP="00AC5988">
      <w:pPr>
        <w:autoSpaceDE w:val="0"/>
        <w:autoSpaceDN w:val="0"/>
        <w:adjustRightInd w:val="0"/>
        <w:spacing w:after="20" w:line="240" w:lineRule="auto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F4075A" w:rsidRDefault="00F4075A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val="en-US" w:eastAsia="bg-BG"/>
        </w:rPr>
      </w:pPr>
    </w:p>
    <w:p w:rsidR="001D77AE" w:rsidRDefault="003C4A18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</w:pPr>
      <w:r>
        <w:rPr>
          <w:rFonts w:ascii="Times New Roman CYR" w:eastAsia="Times New Roman" w:hAnsi="Times New Roman CYR" w:cs="Times New Roman CYR"/>
          <w:b/>
          <w:bCs/>
          <w:caps/>
          <w:noProof/>
          <w:spacing w:val="15"/>
          <w:sz w:val="28"/>
          <w:szCs w:val="20"/>
          <w:lang w:eastAsia="bg-BG"/>
        </w:rPr>
        <w:lastRenderedPageBreak/>
        <w:drawing>
          <wp:inline distT="0" distB="0" distL="0" distR="0" wp14:anchorId="10F77923">
            <wp:extent cx="1114425" cy="1066800"/>
            <wp:effectExtent l="0" t="0" r="9525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4E4D" w:rsidRPr="00204E4D" w:rsidRDefault="00204E4D" w:rsidP="00204E4D">
      <w:pPr>
        <w:autoSpaceDE w:val="0"/>
        <w:autoSpaceDN w:val="0"/>
        <w:adjustRightInd w:val="0"/>
        <w:spacing w:after="20" w:line="240" w:lineRule="auto"/>
        <w:jc w:val="center"/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</w:pPr>
      <w:r w:rsidRPr="00204E4D">
        <w:rPr>
          <w:rFonts w:ascii="Times New Roman CYR" w:eastAsia="Times New Roman" w:hAnsi="Times New Roman CYR" w:cs="Times New Roman CYR"/>
          <w:b/>
          <w:bCs/>
          <w:caps/>
          <w:spacing w:val="15"/>
          <w:sz w:val="28"/>
          <w:szCs w:val="20"/>
        </w:rPr>
        <w:t>Р е п у б л и к а   б ъ л г а р и я</w:t>
      </w:r>
    </w:p>
    <w:p w:rsidR="00FE31B6" w:rsidRPr="00C6708D" w:rsidRDefault="00204E4D" w:rsidP="00C6708D">
      <w:pPr>
        <w:pBdr>
          <w:bottom w:val="single" w:sz="4" w:space="1" w:color="auto"/>
        </w:pBdr>
        <w:autoSpaceDE w:val="0"/>
        <w:autoSpaceDN w:val="0"/>
        <w:adjustRightInd w:val="0"/>
        <w:spacing w:after="20" w:line="240" w:lineRule="auto"/>
        <w:jc w:val="center"/>
        <w:rPr>
          <w:rFonts w:ascii="Times New Roman" w:eastAsia="Times New Roman" w:hAnsi="Times New Roman" w:cs="Times New Roman"/>
          <w:spacing w:val="60"/>
          <w:sz w:val="28"/>
          <w:szCs w:val="20"/>
          <w:lang w:val="en-US"/>
        </w:rPr>
      </w:pP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  <w:lang w:val="ru-RU"/>
        </w:rPr>
        <w:t>ОБЛАСТ</w:t>
      </w: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</w:rPr>
        <w:t>E</w:t>
      </w: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  <w:lang w:val="ru-RU"/>
        </w:rPr>
        <w:t xml:space="preserve">Н УПРАВИТЕЛ НА ОБЛАСТ </w:t>
      </w:r>
      <w:r w:rsidRPr="00204E4D">
        <w:rPr>
          <w:rFonts w:ascii="Times New Roman" w:eastAsia="Times New Roman" w:hAnsi="Times New Roman" w:cs="Times New Roman"/>
          <w:b/>
          <w:bCs/>
          <w:spacing w:val="60"/>
          <w:sz w:val="28"/>
          <w:szCs w:val="20"/>
        </w:rPr>
        <w:t>ХАСКОВО</w:t>
      </w:r>
    </w:p>
    <w:p w:rsidR="00FE31B6" w:rsidRDefault="00FE31B6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val="en-US" w:eastAsia="bg-BG"/>
        </w:rPr>
      </w:pPr>
    </w:p>
    <w:p w:rsidR="004542EF" w:rsidRPr="004542EF" w:rsidRDefault="004542E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36B1F">
        <w:rPr>
          <w:rFonts w:ascii="Times New Roman" w:eastAsia="Times New Roman" w:hAnsi="Times New Roman" w:cs="Times New Roman"/>
          <w:b/>
        </w:rPr>
        <w:t>УТВЪРЖДАВАМ:</w:t>
      </w: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СТЕФКА ЗДРАВКОВА</w:t>
      </w:r>
    </w:p>
    <w:p w:rsidR="00A226DB" w:rsidRPr="00F36B1F" w:rsidRDefault="00A226DB" w:rsidP="00A226DB">
      <w:pPr>
        <w:spacing w:after="0" w:line="240" w:lineRule="auto"/>
        <w:rPr>
          <w:rFonts w:ascii="Times New Roman" w:eastAsia="Times New Roman" w:hAnsi="Times New Roman" w:cs="Times New Roman"/>
          <w:i/>
          <w:lang w:val="en-US"/>
        </w:rPr>
      </w:pPr>
      <w:r w:rsidRPr="00F36B1F">
        <w:rPr>
          <w:rFonts w:ascii="Times New Roman" w:eastAsia="Times New Roman" w:hAnsi="Times New Roman" w:cs="Times New Roman"/>
          <w:i/>
        </w:rPr>
        <w:t>Областен управител на Област Хасково</w:t>
      </w:r>
    </w:p>
    <w:p w:rsidR="00A226DB" w:rsidRDefault="00A226DB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</w:p>
    <w:p w:rsidR="004542EF" w:rsidRPr="004542EF" w:rsidRDefault="004542E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</w:pPr>
    </w:p>
    <w:p w:rsidR="001E1213" w:rsidRPr="00AF5FEE" w:rsidRDefault="001E1213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F5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І. ОСНОВАНИЕ ЗА РАЗРАБОТВАНЕ </w:t>
      </w:r>
    </w:p>
    <w:p w:rsidR="00647471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Постоянно нарастващите цени на енергоносителите, глобалното замърсяване на околната среда и хармонизирането с европейските норми за енергийна ефективност обуславят необходимостта от изготвяне на програма за енергийна ефективност. Програмите по енергийна ефективност се разработват при отчитане на стратегическите цели и приоритети </w:t>
      </w:r>
      <w:r w:rsid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 българското и европейско законодателство в областта на енергийната ефективност и в съответствие със заложените приоритети в тази посока</w:t>
      </w:r>
      <w:r w:rsid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</w:t>
      </w:r>
      <w:r w:rsidR="00281B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281BB5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</w:t>
      </w:r>
      <w:r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егионални</w:t>
      </w:r>
      <w:r w:rsidR="00281BB5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 план</w:t>
      </w:r>
      <w:r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развитие на </w:t>
      </w:r>
      <w:r w:rsidR="00047586" w:rsidRP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Южен централен район</w:t>
      </w:r>
      <w:r w:rsidR="006474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0B58B5" w:rsidRPr="000B58B5" w:rsidRDefault="000B58B5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Предприемането на мерки за повишаване на е</w:t>
      </w:r>
      <w:r w:rsidRPr="000B58B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нергийна ефективност води до:</w:t>
      </w: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 на разходите за скъпи горива и енергия;</w:t>
      </w:r>
    </w:p>
    <w:p w:rsidR="000B58B5" w:rsidRPr="000B58B5" w:rsidRDefault="000B58B5" w:rsidP="00F143DA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подобряване на топлинния комфорт чрез въвеждане на енергоспестяващи мерки в сгради, при спазване на съотношението „разходи – ефективност“, като в резултат на това се променя енергийното поведение на съответната сграда;</w:t>
      </w:r>
    </w:p>
    <w:p w:rsidR="000B58B5" w:rsidRPr="000B58B5" w:rsidRDefault="000B58B5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създаване на предпоставки за търсене на варианти за смяна на гориво-енергийна база чрез оползотворяване на енергията от възобновяеми източници /слънчева, геотермална енергия и др./ за задоволяване на енергийните потребности на сградите и на техните обитатели;</w:t>
      </w:r>
    </w:p>
    <w:p w:rsidR="000B58B5" w:rsidRPr="000B58B5" w:rsidRDefault="000B58B5" w:rsidP="00F143DA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846AA4" w:rsidRDefault="000B58B5" w:rsidP="00F143DA">
      <w:pPr>
        <w:pStyle w:val="a5"/>
        <w:numPr>
          <w:ilvl w:val="0"/>
          <w:numId w:val="31"/>
        </w:numPr>
        <w:spacing w:before="100" w:beforeAutospacing="1" w:after="100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търсене на варианти за привеждане на наличния сграден фонд в „сгради с близко до нулево потребление на енергия“ чрез комбинацията на мерки, свързани със съвместното изпълнение на строително-монтажни работи в сгради, водещи до повишаване на енергийните характеристики на сградите до клас „А“ по скалата за класовете на енергопотребление и въвеждането на инсталации за </w:t>
      </w: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lastRenderedPageBreak/>
        <w:t>оползотворяване на енергия от възобновяеми източници, като участието на този вид енергия в общия гориво-енергиен състав на енергията, служеща за</w:t>
      </w: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846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задоволяване на енергийните потребности на дадена сграда и на нейните обитатели, трябва да е не по-малко от 55 %;</w:t>
      </w:r>
    </w:p>
    <w:p w:rsidR="000B58B5" w:rsidRPr="000B58B5" w:rsidRDefault="000B58B5" w:rsidP="00F143DA">
      <w:pPr>
        <w:pStyle w:val="a5"/>
        <w:spacing w:before="100" w:beforeAutospacing="1" w:after="100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0B58B5" w:rsidRPr="00BC7B9C" w:rsidRDefault="000B58B5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 на парниковите газове в атмосферния въздух и ограни</w:t>
      </w:r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чаване изменението на климата</w:t>
      </w:r>
      <w:r w:rsidR="008F53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7568C7" w:rsidRDefault="007568C7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74EAC" w:rsidRDefault="00174EAC" w:rsidP="00F143DA">
      <w:pPr>
        <w:pStyle w:val="a5"/>
        <w:ind w:left="567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74EAC" w:rsidRDefault="007568C7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139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II. ПОЛИТИКА ПО ЕНЕРГИЙНА ЕФЕКТИВНОСТ</w:t>
      </w:r>
    </w:p>
    <w:p w:rsidR="007568C7" w:rsidRPr="007568C7" w:rsidRDefault="007568C7" w:rsidP="005A139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Повишаването на енергийната ефективност е един от основните инструменти, които водят до постигането на заложените цели на държавната политика в областта на икономиката и енергетиката не само на национално ниво, но и на местно. Реализирането на националната политика по енергийна ефективност е възможно само с активното участие на всички сектори – индустрия, транспорт, услуги, домакинства, туризъм и др., в т.ч. и от собствениците на сгради - държавна собственост, използвани от държавната администрация. С Националния план се определят икономически- ефективните методи за подобряване енергийните характеристики на съответните сгради. </w:t>
      </w:r>
    </w:p>
    <w:p w:rsidR="007568C7" w:rsidRPr="007568C7" w:rsidRDefault="007568C7" w:rsidP="005A139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Националните цели на страната за сгради с близко до нулево нетно потребление на енергия са формулирани в Националният план за сгради с близко до нулево потребление на енергия, приет с Решение № 1035 на МС от края на 2015 г. и представен в ЕК на 1 фе</w:t>
      </w:r>
      <w:r w:rsidR="005A13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вруари 2016 г. </w:t>
      </w:r>
      <w:r w:rsidR="005A139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включва цели, които се различават в зависимост от категорията на съответните сгради според предназначението им.</w:t>
      </w:r>
    </w:p>
    <w:p w:rsidR="007568C7" w:rsidRPr="007568C7" w:rsidRDefault="007568C7" w:rsidP="0049482A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Националната дефиниция за сграда с близко до нулево потребление на енергия е определена в ЗЕЕ и гласи: </w:t>
      </w:r>
      <w:r w:rsidR="0049482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„</w:t>
      </w: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Сграда с близко до нулево потребление на енергия е сграда, която отговаря едновременно на следните условия:</w:t>
      </w:r>
    </w:p>
    <w:p w:rsidR="007568C7" w:rsidRPr="00BC7B9C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енергопотреблението на сградата, определено като първична енергия, отговаря на клас А от скалата на класовете на енергопотребление за съответния тип сгради;</w:t>
      </w:r>
    </w:p>
    <w:p w:rsidR="00BC7B9C" w:rsidRPr="00BC7B9C" w:rsidRDefault="00BC7B9C" w:rsidP="00F143DA">
      <w:pPr>
        <w:pStyle w:val="a5"/>
        <w:spacing w:before="100" w:beforeAutospacing="1" w:after="45" w:afterAutospacing="1" w:line="240" w:lineRule="auto"/>
        <w:ind w:left="420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BC7B9C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не по-малко от 55 % от потребената (доставената) енергия за отопление, охлаждане, вентилация, гореща вода за битови нужди и осветление е енергия от възобновяеми източници, разположени на място на ниво сграда или в близост до сградата.</w:t>
      </w:r>
      <w:r w:rsidR="00B47869" w:rsidRPr="00BC7B9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“</w:t>
      </w:r>
    </w:p>
    <w:p w:rsidR="007568C7" w:rsidRPr="007568C7" w:rsidRDefault="007568C7" w:rsidP="009F6499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Минималните изисквания за енергийните характеристики на сградите или на части от тях, с оглед постигане равнищата на оптималните разходи, техническите изисквания и показатели за енергийна ефективност, както и методът/стандартите за определяне на годишен разход на енергия в сградите, включително на сградите с близко до нулево потребление на енергия, се определят с Наредба № 7 от 2004 г. за енергийна ефективност на сгради.</w:t>
      </w:r>
    </w:p>
    <w:p w:rsidR="007568C7" w:rsidRPr="007568C7" w:rsidRDefault="00223BCE" w:rsidP="00223BCE">
      <w:pPr>
        <w:spacing w:before="100" w:beforeAutospacing="1" w:after="45" w:afterAutospacing="1" w:line="240" w:lineRule="auto"/>
        <w:ind w:right="105" w:firstLine="708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Реализиран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мерки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</w:t>
      </w:r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 на енергопотребление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 спазването на о</w:t>
      </w:r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сновните насоки на политика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по енергийна ефективност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ще доведат до</w:t>
      </w:r>
      <w:r w:rsidR="007568C7" w:rsidRPr="007568C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:</w:t>
      </w: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lastRenderedPageBreak/>
        <w:t>намаляване топлинните загуби в сградите чрез подобряване на</w:t>
      </w:r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енергийните им характеристики;</w:t>
      </w:r>
    </w:p>
    <w:p w:rsidR="00473FD5" w:rsidRPr="00473FD5" w:rsidRDefault="00473FD5" w:rsidP="00F143DA">
      <w:pPr>
        <w:pStyle w:val="a5"/>
        <w:spacing w:before="100" w:beforeAutospacing="1" w:after="45" w:afterAutospacing="1" w:line="240" w:lineRule="auto"/>
        <w:ind w:left="420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използване на енергийните ресурси за отопление и охлаждане чрез високоефективни системи;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поддържане на стабилни параметри на микросредата в обитаваните помещения;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създаване условия за насърчаване използването на ВEИ;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намаляване емисиите на вредните газове;</w:t>
      </w:r>
    </w:p>
    <w:p w:rsidR="00473FD5" w:rsidRPr="00473FD5" w:rsidRDefault="00473FD5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473FD5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подобряване енергийните характеристики на обществените и жилищни сгради и намаляване на </w:t>
      </w:r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топлинните загуби чрез саниране</w:t>
      </w:r>
      <w:r w:rsidR="00D13FC9" w:rsidRPr="00473FD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ефективно използване на енергийните ресурси за отопление чрез отоплителни системи с висока ефективност, включващи и възможности за регулиране на потреблението и поддържане на стабилни нормативни параметри на микросредата в отопляваните обекти;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продължаване процеса на обследване на сгради с РЗП над 250 м2 и промишлени системи с общо годишно потребление над 3 000 MWh.;</w:t>
      </w:r>
    </w:p>
    <w:p w:rsidR="00CB546E" w:rsidRPr="00CB546E" w:rsidRDefault="00CB546E" w:rsidP="00F143DA">
      <w:pPr>
        <w:pStyle w:val="a5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</w:p>
    <w:p w:rsidR="007568C7" w:rsidRPr="00CB546E" w:rsidRDefault="007568C7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CB546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модернизиране на осветлението в общинските обекти без да се намалява нивото на осветеност и качеството на осветлението /чрез използване на компактни луминесцентни лампи, автоматични системи за контрол, 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управление, ниво на осветеност/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E1213" w:rsidRPr="001E1213" w:rsidRDefault="001E1213" w:rsidP="007568C7">
      <w:pPr>
        <w:spacing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Съгласно чл. 63, ал. 1 от ЗЕЕ, </w:t>
      </w:r>
      <w:r w:rsidR="00701FE3" w:rsidRPr="00941224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собствениците на сгради – публична държавна или общинска собственост</w:t>
      </w:r>
      <w:r w:rsidRPr="001E121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са длъжни да извършват управление на енергийната ефективност. Списъкът от дейности, посредством които се осъществява управлението на енергийната ефективност се съдържа в чл. 63, ал. 2 от ЗЕЕ и включва:</w:t>
      </w:r>
    </w:p>
    <w:p w:rsidR="001E1213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организиране на изпълнението на програмите за енергийна ефективност на държавните и местните органи, както и на други мерки, които водят до изпълнението на индивидуалните цели за енергийни спестявания;</w:t>
      </w:r>
    </w:p>
    <w:p w:rsidR="001E1213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поддържане на бази данни за месечното производство/потребление по видове енергии и потребители, включително дати, цени, количество и качество на доставените/продадените енергии и горива;</w:t>
      </w:r>
    </w:p>
    <w:p w:rsidR="007568C7" w:rsidRPr="007570CF" w:rsidRDefault="00F143DA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ежегодно изготвяне на анализи на енергийното потребление;</w:t>
      </w:r>
    </w:p>
    <w:p w:rsidR="001E1213" w:rsidRPr="007570CF" w:rsidRDefault="00AB531F" w:rsidP="00F143DA">
      <w:pPr>
        <w:spacing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F143DA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оценка на изпълнението на поставените им индивидуални цели за енергийни </w:t>
      </w:r>
      <w:r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="001E1213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спестявания.</w:t>
      </w:r>
    </w:p>
    <w:p w:rsidR="00224BA7" w:rsidRPr="007570CF" w:rsidRDefault="00F143DA" w:rsidP="00F143DA">
      <w:pPr>
        <w:spacing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224BA7" w:rsidRPr="007570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представяне на годишни отчети за управлението на енергийната ефективност в АУЕР. </w:t>
      </w:r>
    </w:p>
    <w:p w:rsidR="00F30CD5" w:rsidRDefault="00D62406" w:rsidP="00F30CD5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>Програмата за енергийна ефективност на Област Х</w:t>
      </w:r>
      <w:r w:rsidR="00D535C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асково за периода 2020 г. - 2025</w:t>
      </w: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г. е разработена на основание чл.12, ал.</w:t>
      </w:r>
      <w:r w:rsid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D6240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2 от Закона за енергийна ефективност (ЗЕЕ), обн. ДВ бр. 35 от 2015 г. и в съответствие с</w:t>
      </w:r>
      <w:r w:rsidR="002C786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:</w:t>
      </w:r>
    </w:p>
    <w:p w:rsidR="00D535C4" w:rsidRPr="00F30CD5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    </w:t>
      </w:r>
      <w:r w:rsidR="00511763" w:rsidRPr="00772A2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511763" w:rsidRPr="00772A2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Енергийната стратегия на Република България до 2020 г. </w:t>
      </w:r>
    </w:p>
    <w:p w:rsidR="001E1213" w:rsidRPr="00772A2D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Националния план за действие по енергийна ефективност 2014 -2020 г.;</w:t>
      </w:r>
      <w:r w:rsidR="00385DB1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1E1213" w:rsidRPr="00772A2D" w:rsidRDefault="00E0477D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F30CD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Националния план за сгради с близко до нулево потребление на енергия 2015 г. – 2020 г.; </w:t>
      </w:r>
    </w:p>
    <w:p w:rsidR="001E1213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-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Националния план за подобряване на енергийните характеристики на отопляваните и/или охлаждани сгради - държавна собственост, използвани от държавната администрация;</w:t>
      </w:r>
      <w:r w:rsidR="00385DB1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1E1213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 Националната дългосрочна програма за насърчаване на инвестиции за изпълнение на мерки за подобряване на енергийните характеристики на сградите от обществения и частния национален ж</w:t>
      </w:r>
      <w:r w:rsidR="00D9369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илищен и търговски сграден фонд;</w:t>
      </w:r>
    </w:p>
    <w:p w:rsidR="002E1057" w:rsidRPr="00772A2D" w:rsidRDefault="0052603F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772A2D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7570C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2E1057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Национален план за действие по промените в климата;</w:t>
      </w:r>
    </w:p>
    <w:p w:rsidR="001E1213" w:rsidRPr="001E1213" w:rsidRDefault="00DC3656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7570C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Стратегия „Енерг</w:t>
      </w:r>
      <w:r w:rsidR="001B2D4B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етика 2020” на Европейския съюз</w:t>
      </w:r>
      <w:r w:rsidR="0065514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т.нар. „триада 20-20-20” за намаляване на емисиите на парникови газове с 20%, увеличаване на дела на енергията от възобновяеми източници до 20% и подобрение на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енергийната ефективност с 20%;</w:t>
      </w:r>
    </w:p>
    <w:p w:rsidR="001E1213" w:rsidRPr="001E1213" w:rsidRDefault="007570CF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</w:t>
      </w:r>
      <w:r w:rsidR="00DC365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Директива 2010/31/ЕС на Европейският парламент и на Съвета от 19 май 2010</w:t>
      </w:r>
      <w:r w:rsidR="001B2D4B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г.</w:t>
      </w:r>
      <w:r w:rsidR="001E1213" w:rsidRPr="00772A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относно енергий</w:t>
      </w:r>
      <w:r w:rsidR="001B2D4B" w:rsidRPr="00772A2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ните характеристики на сградите,</w:t>
      </w:r>
      <w:r w:rsidR="001B2D4B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 ц</w:t>
      </w:r>
      <w:r w:rsidR="001E121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ел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</w:t>
      </w:r>
      <w:r w:rsidR="001B2D4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се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насърчи подобряване на енергийните характеристики на сградите в рамките на ЕС, като се вземат предвид външните климатични и местни условия, както и изискванията за параметрите на вътрешния въздух и съо</w:t>
      </w:r>
      <w:r w:rsidR="00691A8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тношението разходи-ефективност, както и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енергийно сертифициране на сгради и части от тях;</w:t>
      </w:r>
    </w:p>
    <w:p w:rsidR="001E1213" w:rsidRPr="001E1213" w:rsidRDefault="00DC3656" w:rsidP="00F143DA">
      <w:pPr>
        <w:spacing w:before="100" w:beforeAutospacing="1" w:after="0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  </w:t>
      </w:r>
      <w:r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Директива 2012/27/ЕС на Европейският парламент и на Съвета от 25 октомври 2012 г.</w:t>
      </w:r>
      <w:r w:rsidR="001E1213" w:rsidRPr="00772A2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относно енергийната ефективност</w:t>
      </w:r>
      <w:r w:rsidR="00511763" w:rsidRPr="00385DB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– с о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сновната цел на </w:t>
      </w:r>
      <w:r w:rsidR="001E1213" w:rsidRPr="0025255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тази</w:t>
      </w:r>
      <w:r w:rsidR="0025255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Директива е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 допринесе за постигане на целите на ЕС за енерги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йна ефективност до 2020 г.</w:t>
      </w:r>
      <w:r w:rsidR="0025255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чрез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изготвяне на национална дългосрочна стратегия за саниране на обществения и частен сграден фонд;</w:t>
      </w:r>
      <w:r w:rsidR="005117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адължително реновиране на 3% годишно от пълната разгъната застроена площ (РЗП) на</w:t>
      </w:r>
      <w:r w:rsidR="00D9369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държавните сгради над 250 кв.м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772A2D" w:rsidRPr="00772A2D" w:rsidRDefault="00DC3656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E1213" w:rsidRPr="00772A2D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Закон за енергийната ефективност</w:t>
      </w:r>
    </w:p>
    <w:p w:rsidR="001E1213" w:rsidRPr="00772A2D" w:rsidRDefault="001E1213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Страната ни е приела национална индикативна цел за енергийно спестяване до 2016 г. в размер на 9% от крайното енергийно потребление за периода от 9 години (2008-2016) или средно по 1% годишно, което означава, че страната ни трябваше да осигури спестяване на горива и енергии, възлизащо на 627 ktoe до края на 2016 г. По-важните разпоредби, заложени в ЗЕЕ са:</w:t>
      </w:r>
    </w:p>
    <w:p w:rsidR="001E1213" w:rsidRPr="001E1213" w:rsidRDefault="006903F9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lastRenderedPageBreak/>
        <w:t xml:space="preserve">•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Въвеждане на индивидуални индикативни цели, които са разпределени към определени групи задължени лица: търговци на енергия, собственици на публични сгради с РЗП над</w:t>
      </w:r>
      <w:r w:rsidR="00C53385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250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м2 и собственици на промишлени системи;</w:t>
      </w:r>
    </w:p>
    <w:p w:rsidR="001E1213" w:rsidRPr="001E1213" w:rsidRDefault="006903F9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•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Въвеждане на дейности и мерки по енергийна ефективност, като сертифициране на нови сгради, обследване и сертифициране на съществуващи сгради, проверка за енергийна ефективност на котли и климатични инсталации в сгради, управление на енергийната ефективност, както и подобряване на енергийните характеристики на външното осветление (улично и парково).</w:t>
      </w:r>
    </w:p>
    <w:p w:rsidR="001E1213" w:rsidRPr="006903F9" w:rsidRDefault="001E1213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Зак</w:t>
      </w:r>
      <w:r w:rsidR="00772A2D"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он за устройство на територията</w:t>
      </w:r>
    </w:p>
    <w:p w:rsidR="001E1213" w:rsidRPr="001E1213" w:rsidRDefault="001E1213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Едно от основните изисквания на Закона за устройство на територията (ЗУТ) е да се определят съществените изисквания към сградния фонд. Важно е в една сграда да се въведат мерки за икономия на консумацията на топлинната енергия и да се увеличи топлосъхранението на обектите. </w:t>
      </w:r>
    </w:p>
    <w:p w:rsidR="001E1213" w:rsidRPr="006903F9" w:rsidRDefault="001E1213" w:rsidP="00F143DA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right="105" w:firstLine="0"/>
        <w:jc w:val="both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Подзаконови нормативни актове.</w:t>
      </w:r>
    </w:p>
    <w:p w:rsidR="001E1213" w:rsidRPr="001E1213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• 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НАРЕДБА № Е-РД-04-1 от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22.01.2016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обследване за енергийна ефективност, сертифициране и оценка на енергийните спестявания на сгради;</w:t>
      </w:r>
    </w:p>
    <w:p w:rsidR="001E1213" w:rsidRPr="001E1213" w:rsidRDefault="003C7CB9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• НАРЕДБА № Е-РД-04-2 от 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22.01.2016 г.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показателите за разход на енергия и енергийните характеристики на сградите;</w:t>
      </w:r>
    </w:p>
    <w:p w:rsidR="001E1213" w:rsidRPr="001E1213" w:rsidRDefault="000B47BF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•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НАРЕДБА № РД-16-347 от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02.04.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2009 г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 за условията и реда за определяне размера и изплащане на планираните средства по договор с </w:t>
      </w:r>
      <w:r w:rsidR="001E1213" w:rsidRPr="00AF5FEE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гарантиран резултат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, водещи до енергийни спестявания в сгради – държавна и/или общинска собственост;</w:t>
      </w:r>
    </w:p>
    <w:p w:rsidR="001E1213" w:rsidRPr="001E1213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• 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НА</w:t>
      </w:r>
      <w:r w:rsidR="000B47BF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РЕДБА № РД-16-932 </w:t>
      </w:r>
      <w:r w:rsidR="003C7CB9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от</w:t>
      </w:r>
      <w:r w:rsidR="000B47BF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23.10.</w:t>
      </w: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2009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условията и реда за извършване на проверка на водогрейни котли и на климатични инсталация по чл.27,ал.1 и чл.28, ал.1 от Закона за енергий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ната ефективност и за създаване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 поддържане и ползване на базата данни за тях;</w:t>
      </w:r>
    </w:p>
    <w:p w:rsidR="001E1213" w:rsidRPr="001E1213" w:rsidRDefault="003C7CB9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• НАРЕДБА № 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Е-РД-04-3 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от</w:t>
      </w:r>
      <w:r w:rsidR="001E1213"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4.05.2016 г.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допустимите мерки за осъществяване на енергийни спестявания в крайното потребление, начините на доказване на постигнатите енергийни спестявания, изискванията към методиките за тяхното оценяване и начините за потвърждаването им;</w:t>
      </w:r>
    </w:p>
    <w:p w:rsidR="00AF5FEE" w:rsidRDefault="001E1213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03BFE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• НАРЕДБА № Е-РД-16-647 от 15.12.2015 г.</w:t>
      </w: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определяне на съдържанието, структурата, условията и реда за набиране и предоставяне на информаци</w:t>
      </w:r>
      <w:r w:rsid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я.</w:t>
      </w:r>
    </w:p>
    <w:p w:rsidR="00174EAC" w:rsidRDefault="00174EAC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1E1213" w:rsidRDefault="00174EAC" w:rsidP="003330F7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E1213" w:rsidRPr="00AF5FEE" w:rsidRDefault="001E1213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F5FE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III. СЪСТОЯНИЕ НА ЕНЕРГИЙНОТО ПОТРЕБЛЕНИЕ</w:t>
      </w:r>
    </w:p>
    <w:p w:rsidR="001E1213" w:rsidRPr="001E1213" w:rsidRDefault="006A5B47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A5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1.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Област Хасково заема около 5% от територията на страната с площ от 5543 км2 – части от Източните Родопи и Горнотракийската низина, както и част от поречието на река Марица. </w:t>
      </w:r>
      <w:r w:rsidR="001E1213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Административен център на областта е град Хасково, с население </w:t>
      </w:r>
      <w:r w:rsidR="004B451E" w:rsidRPr="004B451E">
        <w:rPr>
          <w:rFonts w:ascii="Times New Roman" w:hAnsi="Times New Roman" w:cs="Times New Roman"/>
          <w:sz w:val="24"/>
          <w:szCs w:val="24"/>
          <w:shd w:val="clear" w:color="auto" w:fill="F9F9F9"/>
        </w:rPr>
        <w:t>76 587</w:t>
      </w:r>
      <w:r w:rsidR="004B451E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1E1213" w:rsidRPr="004B451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души.</w:t>
      </w:r>
      <w:r w:rsidR="001E1213" w:rsidRPr="00C2463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bg-BG"/>
        </w:rPr>
        <w:t xml:space="preserve"> </w:t>
      </w:r>
      <w:r w:rsidR="001E1213"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Релефът в областта е твърде разнообразен. Климатът е със силно подчертано средиземноморско влияние. То се изразява предимно с по-високите средни годишни температури и по-чувствителното преместване на главните валежни минимуми и максимуми.</w:t>
      </w:r>
    </w:p>
    <w:p w:rsidR="001E1213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климатичното райониране на Република България по Наредба №7 / ДВ. бр.93 от 21 Ноември 2017г.) за енергийните характеристики на обектите, гр. Хасково принадлежи към Климатична зона 8, която се характеризира със следните климатични особености:</w:t>
      </w:r>
    </w:p>
    <w:p w:rsidR="00B07C5F" w:rsidRPr="001E1213" w:rsidRDefault="00B07C5F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bg-BG"/>
        </w:rPr>
        <w:drawing>
          <wp:inline distT="0" distB="0" distL="0" distR="0" wp14:anchorId="06B06C8F">
            <wp:extent cx="5761355" cy="3828415"/>
            <wp:effectExtent l="0" t="0" r="0" b="63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2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продължителност на отоплителния сезон е 161 дни. С начало- 28 октомври и край- 6 април;</w:t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отоплителни денградуси (DD) – 2300 при средна температура в сградата 19 ºС (Наредба №7 / ДВ брой 93, 2017 г.);</w:t>
      </w:r>
    </w:p>
    <w:p w:rsidR="001E1213" w:rsidRPr="006903F9" w:rsidRDefault="001E1213" w:rsidP="003C7CB9">
      <w:pPr>
        <w:pStyle w:val="a5"/>
        <w:numPr>
          <w:ilvl w:val="0"/>
          <w:numId w:val="31"/>
        </w:numPr>
        <w:spacing w:before="100" w:beforeAutospacing="1" w:after="45" w:afterAutospacing="1" w:line="240" w:lineRule="auto"/>
        <w:ind w:left="567" w:right="105" w:hanging="141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изчислителна външна температура: - 14 ºС</w:t>
      </w:r>
    </w:p>
    <w:p w:rsidR="001E1213" w:rsidRPr="001E1213" w:rsidRDefault="001E1213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</w:pPr>
      <w:r w:rsidRPr="001E1213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/Базови климатични данни – НИМХ към БАН/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изискването на чл. 5 от Директива 2012/27/ЕС, всички държави-членки трябва да осигурят поне 3 % от РЗП на отопляваните и/или охлаждани сгради, притежавани и ползвани от централната администрация да се обновяват ежегодно, считано от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1 април 2014 г. в</w:t>
      </w:r>
      <w:r w:rsidR="00716A6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Р България, а съгласно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разпоредбите на ЗЕЕ, е цел от 5 %, като освен сградите на централната администрация се обхващат и част от тези, ползвани от териториалната.</w:t>
      </w:r>
    </w:p>
    <w:p w:rsidR="006903F9" w:rsidRDefault="006A5B47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2. 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В управление на Областния управител на област Хасково са </w:t>
      </w:r>
      <w:r w:rsidR="00B07C5F" w:rsidRPr="006903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пет</w:t>
      </w:r>
      <w:r w:rsidR="007F2EA4" w:rsidRPr="006903F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сгради, като две от тях са с РЗП над 250 м/2: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сграда за административно обслужване, с адрес: гр. Хасково, пл. „Свобода“ №5 с РЗП: 9982,19;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сграда за обществено ползване  в областта на културата, находяща се в с. Сусам, община Минерални бани, област Хасково с РЗП: 135</w:t>
      </w:r>
      <w:r w:rsidR="00D2153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8 м/2, построена през 1962 год.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сградата е учредено право на безвъзмездно ползване и стопанисване на Читалище „Будилник“, с. Сусам. </w:t>
      </w:r>
    </w:p>
    <w:p w:rsidR="007F2EA4" w:rsidRPr="007F2EA4" w:rsidRDefault="00A02E2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A5B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2.1.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 изпълнение Национална цел за подобряване на енергийните характеристики на отопляваните и/или охлаждани сгради – държавна собственост, използвани от държавната администрация /т. 2.2.3. от НПДЕЕ 2014-2020 год./ са предприети и планирани прилагане на комплекс от енергоспестяващи мерки за сградата на Областна администрация Хасково, предвид настоящото състояние на сградата, което не отговаря на изискванията, заложени в европейското и българско законодателство по отношение на енергийната ефективност. Отоплителната система е морално и материално остаряла – инсталирана при въвеждането в експлоатация на сградата през 60-те години. Същата е крайно неефективна, което води до нуждата от ползване на допълнителна енергия за отопление и охлаждане, чрез допълнително монтирани климатици. В съчетание с компрометираните дограми и</w:t>
      </w:r>
      <w:r w:rsidR="002B4E80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2B4E80" w:rsidRPr="002B4E8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липсата на изолация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сградата е частично отоплена/ охладена, с висок разход на енергия и финансови средства. Сградата е с изключително важно регионално значение, предвид факта, че освен Областна администрация, в нея се помещават 16 териториални структури, а работещите в нея са 281 човека, които ежедневно предоставят голям брой услуги на хора от гр. Хасково и областта. 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 помещения с предназначение „За делова и административна дейност" в сградата на Областна администрация Хасково са настанени следните структури: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„Териториален държавен архив" - Хасково към РД„Архиви" Пловдив;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„Инспекция по труда" Хасково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„Социално подпомагане" Хасково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Регионална здравна инспекция /РЗИ/ - Хасково към Министерство на здравеопазването; 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Регионално управление на образованието - Хасково към Министерство на образованието и науката;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Регионален офис на главна дирекция „Европейски фондове, международни програми и проекти "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АСП - Дирекция „Международно сътрудничество, програми и европейска интеграция" към Министерство на труда и социалната политика;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Общинска служба по земеделие Хасково към Министерство на земеделието, храните и горите;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Областна дирекция „Земеделие" към Министерство на земеделието, храните и горите; -„Изпълнителна агенция  по Лозата  и виното"  Териториално  звено  - Хасково  към Министерство на земеделието, храните и горите;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Асоциация по ВиК - Хасково;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Съвместен секретариат по Програмата за трансгранично сътрудничество ИНТЕРРЕГ -ИПП Турция - България 2014 - 2020 към Министерство на регионалното развитие и благоустройството;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Териториално звено „ГРАО" Хасково към Министерство на регионалното развитие и благоустройството;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Басейнова дирекция ИБР, ИРМ- Хасково към Министерство на околната среда и водите;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КТ „Подкрепа ";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Комисия „Защита на потребителите";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ОСИН Бургас -Районна служба „Изпълнение на наказанията" Хасково към Министерство на правосъдието;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  <w:t>Областно управление „Пожарна безопасност и защита на населението" към МВР;</w:t>
      </w:r>
    </w:p>
    <w:p w:rsidR="007F2EA4" w:rsidRP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Дирекция „Социално подпомагане" - отдел „Закрила на детето" към Министерство на труда и социалната политика;</w:t>
      </w:r>
    </w:p>
    <w:p w:rsidR="007F2EA4" w:rsidRDefault="007F2EA4" w:rsidP="003C7CB9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АСП - Регионална дирекция за социално подпомагане към Министерство на труда и социалната политика.</w:t>
      </w:r>
    </w:p>
    <w:p w:rsidR="004542EF" w:rsidRDefault="00A02E24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2.2.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града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обществено ползване  в областта на културата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–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читалище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находяща се в с. Сусам, община Минерални бани, област Хасково 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е в лошо състояние. Към момента не са предприемани мерки по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 на обследване, сертифициране и обновяване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 Предвид фак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а, че з</w:t>
      </w:r>
      <w:r w:rsidR="00D43AF0" w:rsidRP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 сградата е учредено право на безвъзмездно ползване и стопанисване</w:t>
      </w:r>
      <w:r w:rsidR="00D43AF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, се обмислят варианти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за финансиране </w:t>
      </w:r>
      <w:r w:rsidR="00EE266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 Читалище „Будилник“ </w:t>
      </w:r>
      <w:r w:rsidR="0085553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за обновяване </w:t>
      </w:r>
      <w:r w:rsidR="003B5A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 цел изпълнение на задълженията, указани в ЗЕЕ.</w:t>
      </w:r>
    </w:p>
    <w:p w:rsidR="00174EAC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7F2EA4" w:rsidRDefault="00174EAC" w:rsidP="006903F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4542E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IV.</w:t>
      </w:r>
      <w:r w:rsidR="009855C9"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ЦЕЛ И ОБХВАТ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Настоящата Програма за енергийна ефективност, в съответствие с  Национален план за подобряване на енергийните характеристики на отопляваните и/или охлаждани сгради – държавна собственост, използвани от държавната администрация има следните цели: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 намаляване на разходите за горива и енергия;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 намаляване бюджетните разходи за енергия;</w:t>
      </w:r>
    </w:p>
    <w:p w:rsidR="007F2EA4" w:rsidRPr="007F2EA4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на замърсяването на околната среда - намаляване на вредните емисии в атмосферата;</w:t>
      </w:r>
    </w:p>
    <w:p w:rsidR="006903F9" w:rsidRDefault="00F143DA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енергоспестяващо осветление и изграждане/ монтаж на нови инсталации за оползотворяване на енергията от възобновяеми източници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;</w:t>
      </w:r>
    </w:p>
    <w:p w:rsidR="006903F9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прилагане на възможностите за газификация на Областта;</w:t>
      </w:r>
    </w:p>
    <w:p w:rsidR="006903F9" w:rsidRPr="00F143DA" w:rsidRDefault="007F2EA4" w:rsidP="00F143DA">
      <w:pPr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подобряване качеството на жизнената среда и увеличаване на комфорта</w:t>
      </w:r>
      <w:r w:rsidRPr="00F143D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, чрез следните мерки :</w:t>
      </w:r>
    </w:p>
    <w:p w:rsidR="007F2EA4" w:rsidRPr="006903F9" w:rsidRDefault="002C44BA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</w:t>
      </w:r>
      <w:r w:rsidR="007F2EA4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сновен ремонт и въвеждане на енергоспестя</w:t>
      </w:r>
      <w:r w:rsidR="001F0F26" w:rsidRP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ващи мерки на обществени сгради;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 обследване за енергийна ефективност на обществени общински сгради в експлоатация, с обща разгъната площ над 250 кв.м;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външни стени;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под;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изолация на покрив;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подмяна на дограма;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 мерки по котелни инсталации;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енергоспестяващи мерки по прибори за измерване, контрол и управление;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реконструкция на съществуващи отоплителни инсталации и изграждане на нови такива;</w:t>
      </w:r>
    </w:p>
    <w:p w:rsidR="007F2EA4" w:rsidRPr="001F0F26" w:rsidRDefault="007F2EA4" w:rsidP="006903F9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внедряване на енергоспестяващи технологии и мерки в системите з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 вътрешно осветление на сгради;</w:t>
      </w:r>
    </w:p>
    <w:p w:rsidR="007F2EA4" w:rsidRDefault="007F2EA4" w:rsidP="001651EF">
      <w:pPr>
        <w:pStyle w:val="a5"/>
        <w:numPr>
          <w:ilvl w:val="0"/>
          <w:numId w:val="33"/>
        </w:num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Повишаване нивото на експертния потенциал на специалисти в администрацията за разработване и реализиране на проекти по енергийна</w:t>
      </w:r>
      <w:r w:rsidR="005669E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ефективност</w:t>
      </w:r>
      <w:r w:rsidRPr="001F0F2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, както и на ангажираните с поддръжка на инсталациите за отопление/охлаждане служители</w:t>
      </w:r>
      <w:r w:rsidR="006903F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74EAC" w:rsidRDefault="00174EAC" w:rsidP="00174EAC">
      <w:pPr>
        <w:pStyle w:val="a5"/>
        <w:spacing w:before="100" w:beforeAutospacing="1" w:after="45" w:afterAutospacing="1" w:line="240" w:lineRule="auto"/>
        <w:ind w:left="114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174EAC" w:rsidRPr="006903F9" w:rsidRDefault="00174EAC" w:rsidP="00174EAC">
      <w:pPr>
        <w:pStyle w:val="a5"/>
        <w:spacing w:before="100" w:beforeAutospacing="1" w:after="45" w:afterAutospacing="1" w:line="240" w:lineRule="auto"/>
        <w:ind w:left="114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4542E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542E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V. ИЗБОР НА ПРОГРАМИ, ДЕЙНОСТИ И МЕРКИ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Предвид обществената значимост на сградата на Областна администрация Хасково, е приоритетно прилагането на ЕСМ. През 2018 год. е сключено Споразумение за партньорство между Община Хасково и Областна администрация Хасково по процедура за директно предоставяне на безвъзмездна финансова помощ по схема BG16RFOP001-1.001-039 „Изпълнение на интегрирани планове за градско възстановяване и развитие 2014 – 2020“ Приоритетна ос 1 „Устойчиво и интегрирано градско развитие“, инвестиционен приоритет: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„Енергийна ефективност в административни сгради на държавната администрация“ по ОПРР 2014 – 2020 г.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През 2019 год. е извършено обследване за установяване на техническите характеристики, свързани с изискванията на чл. 169, ал. 1 т. 1-5 от ЗУТ, изготвяне на технически паспорт, съгл. изискванията на чл. 176а от ЗУТ, обследване на енергийната ефективност и предписване на ЕСМ в съответствие с нормативните изисквания и сертифициране по реда на Закона за енергийна ефективност на сградата на Областна администрация Хасково. Очакваната реализация на енергийното обновяване на сградата е в периода 2020 г. – 2021 г., 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като текущото състояние е следното: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сградата е построена на няколко етапа (няколко секции), като последният етап е през 1987 г.;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конструкцията е монолитен стоманобетон, със стоманобетонни гредови плочи и колони. Сутерена на сградата е изпълнен със стоманобетонни стени;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фасадните стени са изградени от тухлена зидария в по-голямата си част. Ограждащите им елементи се нуждаят от полагане на топлинна изолац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ия. Сградата е на шест етажа и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едно сутеренно ниво. Дограмата на сградата при въвеждането й в експлоатация е била дървена. Част от старата дървена дограма е сменена с PVC и Al профили и стъклопакет. На много малка част от фасадата е положена външна ТИ;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подът на сградата е три типа - под над неотопляем сутерен, под земя и под към външен въздух. Покривът на сградата е два типа – скатен и п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лосък (в по-голямата си част).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Правени са подобрения по отношение на дограмата - част от старата дървена дограма е подменена с нова с PVC или Al профил и стъклопакет;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отоплението на сградата се осъществява чрез водно-помпена инсталация от котли на течно гориво (нафта), чугунени глидерни радиатори и свързващи стоманени тръби.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Състои  се от локални котли на течно гориво (три броя – разположени в котелно помещение, намиращо се в сутерена) и индивидуални термопомпени инсталации тип „Въздух-Въздух“. Отоплителната система е в изключително лошо състояние, морално остаряла и без никакъв шанс да отговори на съвременните изисквания за енергийна ефективност и спестяване на въглеродните емисии. Отоплителната инсталация, няма никакви регулировки (по температура, по време). Котлите не осигуряват достатъчно топлина за поддържане на необходимия микроклимат в сградата през отоплителния сезон. Голяма част от помещенията се отопляват или доотопляват с индивидуални термопомпени сплит системи тип „Въздух-Въздух“, поради невъзможността на съществуващата отоплителна инсталация да осигури необходимият топлинен комфорт за норма</w:t>
      </w:r>
      <w:r w:rsidR="00C2463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лното функциониране на сградата;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AF5FEE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подмяната на част от дограмата се е случвала през различно време, като голяма част от нея е в много лошо състояние, като се наблюдават компрометирани елементи, поради изтеклият и експлоатационен срок, както и поради не достатъчно качествени материали. През годините е правена и частична подмяна на осветлението с енергоспестяващо.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Предвидените енергоспестяващи мерки са:</w:t>
      </w:r>
    </w:p>
    <w:p w:rsidR="007F2EA4" w:rsidRPr="007F2EA4" w:rsidRDefault="00E33E4A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24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6515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65153C" w:rsidRPr="0065153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покрив</w:t>
      </w:r>
      <w:r w:rsidR="0065153C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поради лошите топлотехнически свойства и конструктивни съображения на покрива на сградата се предвижда полагане на топлоизолация във въздушната кухина върху плочата граничеща с отопляемото пространство.</w:t>
      </w:r>
    </w:p>
    <w:p w:rsidR="007F2EA4" w:rsidRPr="007F2EA4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="0065153C" w:rsidRPr="00E243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65153C" w:rsidRPr="0065153C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стени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топлоизолиране на външните стени на сградата и  полагане от външната и вътрешната страна на стените на топлинна изолация</w:t>
      </w:r>
      <w:r w:rsidR="0065153C" w:rsidRPr="0065153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/вътрешна изолация – само на партерния етаж, с цел запазване на облицовъчния камък/</w:t>
      </w:r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. </w:t>
      </w:r>
    </w:p>
    <w:p w:rsidR="003548E6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="00113BEF" w:rsidRPr="00113BE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под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- топлоизолиране на под към неотопляем сутерен</w:t>
      </w:r>
      <w:r w:rsidR="003548E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6903F9" w:rsidRDefault="007F2EA4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-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ab/>
      </w:r>
      <w:r w:rsidR="003548E6" w:rsidRPr="003548E6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дограма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 предвижда се подмяна на дограмата на сградата. Ще бъде запазена много малка част от дограмата с добри показатели, съгласно изискванията </w:t>
      </w:r>
      <w:r w:rsidR="003548E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на възложителя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 Съществуващата стара дървена, PVC и Al дограма се премахва. На нейно място се предвижда монтаж на PVC дограма с двоен стъклопакет. Предвижда се обобщеният коефициент на топлопреминаване новата дограма да е U≤1,40W/m2K.</w:t>
      </w:r>
    </w:p>
    <w:p w:rsidR="007F2EA4" w:rsidRPr="007F2EA4" w:rsidRDefault="00E243DF" w:rsidP="006903F9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Pr="00E243DF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осветление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редвижда се подмяна на морално остарялото и енергийно неефективно осветление в цялата сграда с нови енергоспестяващи осветители.</w:t>
      </w:r>
    </w:p>
    <w:p w:rsidR="003D6697" w:rsidRPr="006903F9" w:rsidRDefault="00E243DF" w:rsidP="006903F9">
      <w:pPr>
        <w:spacing w:before="100" w:beforeAutospacing="1" w:after="45" w:afterAutospacing="1" w:line="240" w:lineRule="auto"/>
        <w:ind w:left="426" w:right="105" w:hanging="426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        </w:t>
      </w:r>
      <w:r w:rsidRPr="007231D3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- отопление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- 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редвижда се премахване на цялата съществуваща отоплителна инсталация, както и демонтиране на инсталираните в периода на експлоатация на сградата индивидуални термопомпени агрегати тип „Въздух-Въздух“ по фасадите. Предвижда се чрез осъществяване на мярката да се инсталират нови, модерни и високоефективни термопомпени системи тип „Въздух / Вода”, които да успеят да покрият изцяло нуждите на сградата през отоплителният сезон. Чрез монтажа на такъв тип системи ще се реши и проблема с охлаждането на помещенията в сградата. Избраните термопомпени инсталации се предвижда да бъдат с минимален SCOP = 3,3 [W/W], което ще удовлетвори изискванията, както на оперативна</w:t>
      </w:r>
      <w:r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та програма за наличие на ВЕИ (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SCOP &gt; 3.0 [W/W]), така и изискванията на Наредба №</w:t>
      </w:r>
      <w:r w:rsidR="00486D7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7 за Енергийна ефективност и ще позволи сградата да постигне клас на енергопотребление „А+“ с разход на енергия „Близо до нулата“. Предвид статута и архитектурата на сградата тази мярка е целесъобразна с оглед стремежа на човечеството към намаляване на въглеродните емисии и стимулиране на енергията от ВЕИ. Поради наличието на природен газ в близост до сградата се предвижда и монтаж на нов газов котел (на природен газ) с мощност 800kW, който да работи паралелно с термопомпените агрегати тип „Въздух / Вода”. Предвиждането на газов котел се налага поради естеството на сградата (факта, че в нея са ситуирани по-голямата част от държавните структури). Газовият котел ще работи при авария на някое от външните тела на термопомпените агрегати – тази мярка е необходима, поради особената важност на някои от държавните структури и необходимостта от гарантиране на санитарно-хигиенният минимум на вътрешната температура в работните помещения. Предвижда се монтажа на нов, високоефективен, кондензен газов котел с к.п.д. минимум 107 %. Предвижда се във всяко от помещенията с очаквано пребиваване на хора да се монтират вентилаторни</w:t>
      </w:r>
      <w:r w:rsidR="00035085" w:rsidRPr="007231D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конвектори тип „Въздух / Вода”.</w:t>
      </w:r>
    </w:p>
    <w:p w:rsidR="00AE0342" w:rsidRDefault="003062DE" w:rsidP="00035085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3062DE">
        <w:rPr>
          <w:noProof/>
          <w:lang w:eastAsia="bg-BG"/>
        </w:rPr>
        <w:drawing>
          <wp:inline distT="0" distB="0" distL="0" distR="0" wp14:anchorId="590A7E2E" wp14:editId="02979F27">
            <wp:extent cx="5705474" cy="2447925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88" cy="244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EAC" w:rsidRPr="00E6642F" w:rsidRDefault="00174EAC" w:rsidP="00035085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841DA2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841D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VI. ОЧАКВАНИ ЕФЕКТИ</w:t>
      </w:r>
      <w:r w:rsidRPr="00841DA2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5A4571" w:rsidRPr="005A4571" w:rsidRDefault="005A4571" w:rsidP="005A457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Очакваните резултати от прилагането на мерките за подобряване на енергийните характеристики на обществените сгради са: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подобряване състоянието на обществените сгради и повишаване на енергийната им ефективност;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бюджетните разходи в резултат на икономия от енергия;</w:t>
      </w:r>
    </w:p>
    <w:p w:rsidR="005A4571" w:rsidRPr="005A4571" w:rsidRDefault="005A4571" w:rsidP="00E6642F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удължен експлоатационен срок на публичната инфраструктура;</w:t>
      </w:r>
    </w:p>
    <w:p w:rsidR="005A4571" w:rsidRPr="005A4571" w:rsidRDefault="005A4571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подобрен комфорт на обществените сгради;</w:t>
      </w:r>
    </w:p>
    <w:p w:rsidR="005A4571" w:rsidRPr="005A4571" w:rsidRDefault="005A4571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намаляване на въглеродните емисии отделяни от обществените сгради.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След реализиране на ЕСМ </w:t>
      </w:r>
      <w:r w:rsidR="005A457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 сградата на Областна администрация Хасково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се очаква постигане на следните резултати: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обобщен коефициент на топлопреминаване на ограждащите елементи - 0,45 W/m2K (икономии в размер на 72,39%);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инфилтрация – 0,5 h-1 (икономии в размер на 48,98%);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икономии на потребна енергия – 1 138 448 KWh/a (спестявания в размер на 85,65%);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икономии на първична енергия – 2 314 682 KWh/a (спестявания в размер на 80,16%);</w:t>
      </w:r>
    </w:p>
    <w:p w:rsidR="007F2EA4" w:rsidRP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спестяване на въглеродни емисии – 612,2 t/a (спестявания в размер на 79,67%);</w:t>
      </w:r>
    </w:p>
    <w:p w:rsidR="007F2EA4" w:rsidRDefault="007F2EA4" w:rsidP="00264D21">
      <w:pPr>
        <w:spacing w:before="100" w:beforeAutospacing="1" w:after="45" w:afterAutospacing="1" w:line="240" w:lineRule="auto"/>
        <w:ind w:left="426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- клас на енергопотребление на сградата – КЛАС „A+” (68,9 KWh/m2).</w:t>
      </w:r>
    </w:p>
    <w:p w:rsidR="005A4571" w:rsidRPr="007F2EA4" w:rsidRDefault="005A4571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Default="007F2EA4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lang w:eastAsia="bg-BG"/>
        </w:rPr>
        <w:drawing>
          <wp:inline distT="0" distB="0" distL="0" distR="0" wp14:anchorId="7A23BFC6" wp14:editId="48810F6E">
            <wp:extent cx="6038215" cy="2533650"/>
            <wp:effectExtent l="0" t="0" r="635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4EAC" w:rsidRPr="00264D21" w:rsidRDefault="00174EAC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841DA2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841D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VII.  ЕТАПИ НА ИЗПЪЛНЕНИЕ</w:t>
      </w:r>
    </w:p>
    <w:p w:rsidR="00264D21" w:rsidRDefault="007F2EA4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Етапите на изпълнение на програмата за енергийната ефективност следва да бъдат съобразени със специфичния характер и сложността на всеки конкретен обект, както и спецификата и вида на избраните мерки, дейности и проекти. Етапите на изпълнение на програмата са:</w:t>
      </w:r>
    </w:p>
    <w:p w:rsidR="00264D21" w:rsidRDefault="008D027D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 1</w:t>
      </w:r>
      <w:r w:rsidR="00B01788" w:rsidRPr="00B0178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 xml:space="preserve">. </w:t>
      </w:r>
      <w:r w:rsidR="007F2EA4" w:rsidRPr="00B01788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bdr w:val="none" w:sz="0" w:space="0" w:color="auto" w:frame="1"/>
          <w:lang w:eastAsia="bg-BG"/>
        </w:rPr>
        <w:t>Инвестиционно намерение</w:t>
      </w:r>
      <w:r w:rsidR="00B01788" w:rsidRP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- 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извършване</w:t>
      </w:r>
      <w:r w:rsidR="007F2EA4" w:rsidRP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на проучвания, с които се цели да се установи дали е целесъобразно осъществяването на инвестиционното намерение, начините и мащаба на изпълнението му, както и обсле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дване на енергийна ефективност. 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Въз основа на събираните данни и информация, 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могат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да се правят анализи и оценки</w:t>
      </w:r>
      <w:r w:rsidR="00B01788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за видовете необходими мерки/дейности, които следва да се изпълнят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. </w:t>
      </w:r>
    </w:p>
    <w:p w:rsidR="00264D21" w:rsidRDefault="00841DA2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2. </w:t>
      </w:r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Инвестиционен проект</w:t>
      </w:r>
      <w:r w:rsidR="008D027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–</w:t>
      </w:r>
      <w:r w:rsidR="008D027D" w:rsidRP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изготвя се </w:t>
      </w:r>
      <w:r w:rsidR="008D027D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съгласно</w:t>
      </w:r>
      <w:r w:rsidR="00C24636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C24636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спецификата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</w:t>
      </w:r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обема на предвидените дейности</w:t>
      </w:r>
      <w:r w:rsidR="008D027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За всеки инвестиционен проект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се прави оценка като се използват различни методи и показатели, </w:t>
      </w:r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с цел да се избере най-ефективния пакет от 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енергоспестяващи </w:t>
      </w:r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мерки</w:t>
      </w:r>
      <w:r w:rsid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3F1DD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264D21" w:rsidRDefault="004B7D91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B7D91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3.</w:t>
      </w:r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Подготовк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>а и изпълнение на строителствот</w:t>
      </w:r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о</w:t>
      </w:r>
      <w:r w:rsidRPr="004B7D91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подготовка на всички необходими документи и извършване на съответните строително – монт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ажни работи на съответния обект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</w:p>
    <w:p w:rsidR="00A24463" w:rsidRPr="00264D21" w:rsidRDefault="004B7D91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4B7D91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>4.</w:t>
      </w:r>
      <w:r w:rsidR="007F2EA4" w:rsidRPr="007F2EA4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val="en-US" w:eastAsia="bg-BG"/>
        </w:rPr>
        <w:t xml:space="preserve"> Мониторинг</w:t>
      </w:r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– 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установява</w:t>
      </w:r>
      <w:r w:rsidR="00B1040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нето на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намалението на енергийното потребление след реализацията на дейностите и мерките по енергийна ефективност се извършва </w:t>
      </w:r>
      <w:r w:rsidR="00B1040D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чрез 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ежемесечно отчитане и записване на параметрите от измервателните уреди, инструктаж на техническия персонал по </w:t>
      </w:r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поддръжка на инсталациите</w:t>
      </w:r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.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</w:t>
      </w:r>
      <w:r w:rsidR="00C37A8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Чрез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 xml:space="preserve"> изграждането на автоматизирана система за събиране и обобщаване на</w:t>
      </w:r>
      <w:r w:rsidR="00B1040D">
        <w:rPr>
          <w:rFonts w:ascii="Times New Roman" w:eastAsia="Times New Roman" w:hAnsi="Times New Roman" w:cs="Times New Roman"/>
          <w:b/>
          <w:bCs/>
          <w:i/>
          <w:sz w:val="24"/>
          <w:szCs w:val="24"/>
          <w:bdr w:val="none" w:sz="0" w:space="0" w:color="auto" w:frame="1"/>
          <w:lang w:eastAsia="bg-BG"/>
        </w:rPr>
        <w:t xml:space="preserve"> </w:t>
      </w:r>
      <w:r w:rsidR="007F2EA4"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val="en-US" w:eastAsia="bg-BG"/>
        </w:rPr>
        <w:t>данни може да се направят изводи по всяко време и за всеки обект дали средствата за снабдяване с енергия се изразходват целесъобразно и дали се спазват нормативните изисквания за поддържане на микроклимата в съответната сграда.</w:t>
      </w:r>
      <w:r w:rsidR="00A2446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264D21" w:rsidRDefault="00264D21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</w:p>
    <w:p w:rsidR="007F2EA4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VII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val="en-US" w:eastAsia="bg-BG"/>
        </w:rPr>
        <w:t>I</w:t>
      </w:r>
      <w:r w:rsidRPr="007F2EA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bg-BG"/>
        </w:rPr>
        <w:t>. НАБЛЮДЕНИЕ И КОНТРОЛ</w:t>
      </w:r>
    </w:p>
    <w:p w:rsidR="00264D21" w:rsidRDefault="00A24463" w:rsidP="00264D21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A24463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За постигане на предвидените резултати от внедряване на енергоспестяващи мерки е необходимо въвеждане на правила за експлоатация и поддръжка на енергийните системи, както и въвеждане на енергиен мониторинг.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Чрез енергийният мониторинг се контролира поддържането на енергопотреблението на предвиденото нормативно ниво. Анализа на данните от мониторинга е основа за вземане на решения за експлоатаци</w:t>
      </w:r>
      <w:r w:rsidR="005D13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ята и</w:t>
      </w:r>
      <w:r w:rsidR="007F2EA4"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поддръжката</w:t>
      </w:r>
      <w:r w:rsidR="005D1390"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  <w:r w:rsidR="005D1390" w:rsidRPr="00EB2C66">
        <w:rPr>
          <w:rFonts w:ascii="Times New Roman" w:hAnsi="Times New Roman" w:cs="Times New Roman"/>
          <w:sz w:val="24"/>
          <w:szCs w:val="24"/>
        </w:rPr>
        <w:t xml:space="preserve"> </w:t>
      </w:r>
      <w:r w:rsidR="00EB2C66" w:rsidRPr="00EB2C66">
        <w:rPr>
          <w:rFonts w:ascii="Times New Roman" w:hAnsi="Times New Roman" w:cs="Times New Roman"/>
          <w:sz w:val="24"/>
          <w:szCs w:val="24"/>
        </w:rPr>
        <w:t xml:space="preserve"> В тази връзка, о</w:t>
      </w:r>
      <w:r w:rsidR="00D063FD" w:rsidRPr="00EB2C66">
        <w:rPr>
          <w:rFonts w:ascii="Times New Roman" w:hAnsi="Times New Roman" w:cs="Times New Roman"/>
          <w:sz w:val="24"/>
          <w:szCs w:val="24"/>
        </w:rPr>
        <w:t>тговорн</w:t>
      </w:r>
      <w:r w:rsidR="000C56D3" w:rsidRPr="00EB2C66">
        <w:rPr>
          <w:rFonts w:ascii="Times New Roman" w:hAnsi="Times New Roman" w:cs="Times New Roman"/>
          <w:sz w:val="24"/>
          <w:szCs w:val="24"/>
        </w:rPr>
        <w:t>ите</w:t>
      </w:r>
      <w:r w:rsidR="000C56D3">
        <w:rPr>
          <w:rFonts w:ascii="Times New Roman" w:hAnsi="Times New Roman" w:cs="Times New Roman"/>
          <w:sz w:val="24"/>
          <w:szCs w:val="24"/>
        </w:rPr>
        <w:t xml:space="preserve"> за сградата технически лица следва да са </w:t>
      </w:r>
      <w:r w:rsidR="00D063FD" w:rsidRPr="00D063FD">
        <w:rPr>
          <w:rFonts w:ascii="Times New Roman" w:hAnsi="Times New Roman" w:cs="Times New Roman"/>
          <w:sz w:val="24"/>
          <w:szCs w:val="24"/>
        </w:rPr>
        <w:t>запознати със законовата рамка и ангажиментите си за поддържане нивото на</w:t>
      </w:r>
      <w:r w:rsidR="000C56D3">
        <w:rPr>
          <w:rFonts w:ascii="Times New Roman" w:hAnsi="Times New Roman" w:cs="Times New Roman"/>
          <w:sz w:val="24"/>
          <w:szCs w:val="24"/>
        </w:rPr>
        <w:t xml:space="preserve"> енергопотребление в сградата съгласно законодателните изисквания</w:t>
      </w:r>
      <w:r w:rsidR="00EB2C66">
        <w:rPr>
          <w:rFonts w:ascii="Times New Roman" w:hAnsi="Times New Roman" w:cs="Times New Roman"/>
          <w:sz w:val="24"/>
          <w:szCs w:val="24"/>
        </w:rPr>
        <w:t>, за да могат да се отчетат правилно резултатите</w:t>
      </w:r>
      <w:r w:rsidR="00D063FD" w:rsidRPr="00D063FD">
        <w:rPr>
          <w:rFonts w:ascii="Times New Roman" w:hAnsi="Times New Roman" w:cs="Times New Roman"/>
          <w:sz w:val="24"/>
          <w:szCs w:val="24"/>
        </w:rPr>
        <w:t>.</w:t>
      </w:r>
      <w:r w:rsidR="00EB2C66">
        <w:t xml:space="preserve"> </w:t>
      </w:r>
      <w:r w:rsidR="005D1390" w:rsidRPr="005D1390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Индикатори за наблюдение</w:t>
      </w:r>
      <w:r w:rsid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и контрол са:</w:t>
      </w:r>
    </w:p>
    <w:p w:rsidR="00EB2C66" w:rsidRPr="00264D21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</w:t>
      </w:r>
      <w:r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фективността на изпълнените мерки;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</w:t>
      </w:r>
    </w:p>
    <w:p w:rsidR="00EB2C66" w:rsidRPr="00264D21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709" w:right="105" w:hanging="142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постигнатите енергийни и финансови спестявания от изпълнени мерки с продължително действие 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приложените мерки;</w:t>
      </w:r>
    </w:p>
    <w:p w:rsidR="00CB1147" w:rsidRDefault="005D1390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EB2C66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</w:t>
      </w:r>
      <w:r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тепен на</w:t>
      </w:r>
      <w:r w:rsidR="00CB1147" w:rsidRPr="00264D2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постигане на поставените цели.</w:t>
      </w:r>
    </w:p>
    <w:p w:rsidR="00174EAC" w:rsidRPr="003C7CB9" w:rsidRDefault="00174EAC" w:rsidP="00174EAC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7F2EA4" w:rsidRPr="00CB1147" w:rsidRDefault="00CB1147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CB1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val="en-US" w:eastAsia="bg-BG"/>
        </w:rPr>
        <w:t>IX</w:t>
      </w:r>
      <w:r w:rsidR="007F2EA4" w:rsidRPr="00CB114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>. ОЧАКВАНИ ЕФЕКТИ ОТ ИЗПЪЛНЕНИЕТО</w:t>
      </w:r>
    </w:p>
    <w:p w:rsidR="003C7CB9" w:rsidRDefault="007F2EA4" w:rsidP="003C7CB9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Най-важните  резултати,  които  ще  се  постигнат  </w:t>
      </w:r>
      <w:r w:rsid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с  реализирането на  Програмата 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за енергийната ефективност са следните:</w:t>
      </w:r>
    </w:p>
    <w:p w:rsidR="007F2EA4" w:rsidRPr="003C7CB9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3C7C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топлинна енергия;</w:t>
      </w:r>
    </w:p>
    <w:p w:rsidR="007F2EA4" w:rsidRP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електрическа енергия;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кономия на гориво;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н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амалени емисии парникови газове;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пазване на околната среда;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абавяне на процеса на изчерпване на природните енергийни ресурси;</w:t>
      </w:r>
    </w:p>
    <w:p w:rsidR="006A4DD7" w:rsidRDefault="006A4DD7" w:rsidP="003C7CB9">
      <w:pPr>
        <w:pStyle w:val="a5"/>
        <w:numPr>
          <w:ilvl w:val="0"/>
          <w:numId w:val="30"/>
        </w:numPr>
        <w:spacing w:before="100" w:beforeAutospacing="1" w:after="45" w:afterAutospacing="1" w:line="240" w:lineRule="auto"/>
        <w:ind w:left="567" w:right="105" w:firstLine="0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ик</w:t>
      </w:r>
      <w:r w:rsidR="007F2EA4" w:rsidRPr="006A4DD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ономия на средства</w:t>
      </w:r>
      <w:r w:rsidR="003500B9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.</w:t>
      </w:r>
    </w:p>
    <w:p w:rsidR="00174EAC" w:rsidRPr="003C7CB9" w:rsidRDefault="00174EAC" w:rsidP="00174EAC">
      <w:pPr>
        <w:pStyle w:val="a5"/>
        <w:spacing w:before="100" w:beforeAutospacing="1" w:after="45" w:afterAutospacing="1" w:line="240" w:lineRule="auto"/>
        <w:ind w:left="567" w:right="105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</w:p>
    <w:p w:rsidR="004610E2" w:rsidRPr="006E773F" w:rsidRDefault="007F2EA4" w:rsidP="003C7CB9">
      <w:pPr>
        <w:spacing w:before="100" w:beforeAutospacing="1" w:after="45" w:afterAutospacing="1" w:line="240" w:lineRule="auto"/>
        <w:ind w:right="105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6E77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X. ИЗТОЧНИЦИ НА </w:t>
      </w:r>
      <w:r w:rsidR="004610E2" w:rsidRPr="006E773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ФИНАНСИРАНЕ </w:t>
      </w:r>
    </w:p>
    <w:p w:rsidR="00401A3C" w:rsidRDefault="006E773F" w:rsidP="00F911D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Съгласно чл. 12, ал. 4 при изпълнение на д</w:t>
      </w:r>
      <w:r w:rsidR="004610E2" w:rsidRPr="00EB16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ържавната политика в областта на енергийната ефективност от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всички държавни и местни органи, ср</w:t>
      </w:r>
      <w:r w:rsidR="004610E2" w:rsidRPr="00EB16A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едствата за изпълнение на програмите по ал. 2 се осигуряват в рамките на бюджетите на държавните органи и на общините.</w:t>
      </w:r>
      <w:r w:rsidR="0091119A" w:rsidRPr="0091119A">
        <w:rPr>
          <w:rFonts w:ascii="Times New Roman" w:hAnsi="Times New Roman" w:cs="Times New Roman"/>
          <w:sz w:val="24"/>
          <w:szCs w:val="24"/>
        </w:rPr>
        <w:t xml:space="preserve"> </w:t>
      </w:r>
      <w:r w:rsidR="0091119A">
        <w:rPr>
          <w:rFonts w:ascii="Times New Roman" w:hAnsi="Times New Roman" w:cs="Times New Roman"/>
          <w:sz w:val="24"/>
          <w:szCs w:val="24"/>
        </w:rPr>
        <w:t>О</w:t>
      </w:r>
      <w:r w:rsidR="0091119A" w:rsidRPr="004610E2">
        <w:rPr>
          <w:rFonts w:ascii="Times New Roman" w:hAnsi="Times New Roman" w:cs="Times New Roman"/>
          <w:sz w:val="24"/>
          <w:szCs w:val="24"/>
        </w:rPr>
        <w:t>бластните управители и другите държавни органи, предвиждат</w:t>
      </w:r>
      <w:r w:rsidR="0011403C">
        <w:rPr>
          <w:rFonts w:ascii="Times New Roman" w:hAnsi="Times New Roman" w:cs="Times New Roman"/>
          <w:sz w:val="24"/>
          <w:szCs w:val="24"/>
        </w:rPr>
        <w:t xml:space="preserve"> средства в собствените бюджети, като същите</w:t>
      </w:r>
      <w:r w:rsidR="00982627" w:rsidRPr="004610E2">
        <w:rPr>
          <w:rFonts w:ascii="Times New Roman" w:hAnsi="Times New Roman" w:cs="Times New Roman"/>
          <w:sz w:val="24"/>
          <w:szCs w:val="24"/>
        </w:rPr>
        <w:t xml:space="preserve"> трябва да бъдат изразходвани в рамките на една календарна година.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 Водещо в изпълнението на </w:t>
      </w:r>
      <w:r w:rsidR="00982627">
        <w:rPr>
          <w:rFonts w:ascii="Times New Roman" w:hAnsi="Times New Roman" w:cs="Times New Roman"/>
          <w:sz w:val="24"/>
          <w:szCs w:val="24"/>
        </w:rPr>
        <w:t>Програмата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 по енергийна ефективност е наличието на финансов ресурс за осъществяване на проектите в тази насока. Без осигуряването на същия предприемането на конкретни действия е не</w:t>
      </w:r>
      <w:r w:rsidR="00401A3C">
        <w:rPr>
          <w:rFonts w:ascii="Times New Roman" w:hAnsi="Times New Roman" w:cs="Times New Roman"/>
          <w:sz w:val="24"/>
          <w:szCs w:val="24"/>
        </w:rPr>
        <w:t>възможно</w:t>
      </w:r>
      <w:r w:rsidR="004610E2" w:rsidRPr="004610E2">
        <w:rPr>
          <w:rFonts w:ascii="Times New Roman" w:hAnsi="Times New Roman" w:cs="Times New Roman"/>
          <w:sz w:val="24"/>
          <w:szCs w:val="24"/>
        </w:rPr>
        <w:t xml:space="preserve">. </w:t>
      </w:r>
      <w:r w:rsidR="00530A2E">
        <w:rPr>
          <w:rFonts w:ascii="Times New Roman" w:hAnsi="Times New Roman" w:cs="Times New Roman"/>
          <w:sz w:val="24"/>
          <w:szCs w:val="24"/>
        </w:rPr>
        <w:t>Възможности за финансиране на дейности за обследване, сертифициране и ремонт на сгради, управлявани от Областния управител са европейските източни</w:t>
      </w:r>
      <w:r w:rsidR="00950EBC">
        <w:rPr>
          <w:rFonts w:ascii="Times New Roman" w:hAnsi="Times New Roman" w:cs="Times New Roman"/>
          <w:sz w:val="24"/>
          <w:szCs w:val="24"/>
        </w:rPr>
        <w:t xml:space="preserve">ци за финансиране, Фонд “Енергийна ефективност“, </w:t>
      </w:r>
      <w:r w:rsidR="00C00944" w:rsidRPr="00C00944">
        <w:rPr>
          <w:rFonts w:ascii="Times New Roman" w:hAnsi="Times New Roman" w:cs="Times New Roman"/>
          <w:sz w:val="24"/>
          <w:szCs w:val="24"/>
        </w:rPr>
        <w:t>Фонд “Енергийна ефективност</w:t>
      </w:r>
      <w:r w:rsidR="00C00944">
        <w:rPr>
          <w:rFonts w:ascii="Times New Roman" w:hAnsi="Times New Roman" w:cs="Times New Roman"/>
          <w:sz w:val="24"/>
          <w:szCs w:val="24"/>
        </w:rPr>
        <w:t xml:space="preserve"> и възобновяеми източници</w:t>
      </w:r>
      <w:r w:rsidR="00C00944" w:rsidRPr="00C00944">
        <w:rPr>
          <w:rFonts w:ascii="Times New Roman" w:hAnsi="Times New Roman" w:cs="Times New Roman"/>
          <w:sz w:val="24"/>
          <w:szCs w:val="24"/>
        </w:rPr>
        <w:t>“</w:t>
      </w:r>
      <w:r w:rsidR="00C00944">
        <w:rPr>
          <w:rFonts w:ascii="Times New Roman" w:hAnsi="Times New Roman" w:cs="Times New Roman"/>
          <w:sz w:val="24"/>
          <w:szCs w:val="24"/>
        </w:rPr>
        <w:t>, договори с гарантиран резултат - ЕСКО</w:t>
      </w:r>
      <w:r w:rsidR="00530A2E">
        <w:rPr>
          <w:rFonts w:ascii="Times New Roman" w:hAnsi="Times New Roman" w:cs="Times New Roman"/>
          <w:sz w:val="24"/>
          <w:szCs w:val="24"/>
        </w:rPr>
        <w:t>.</w:t>
      </w:r>
    </w:p>
    <w:p w:rsidR="003C7CB9" w:rsidRDefault="004610E2" w:rsidP="003C7CB9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bg-BG"/>
        </w:rPr>
      </w:pPr>
      <w:r w:rsidRPr="004610E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EA4" w:rsidRPr="003C7CB9" w:rsidRDefault="007F2EA4" w:rsidP="003C7CB9">
      <w:pPr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bg-BG"/>
        </w:rPr>
        <w:t>IX. ОТЧЕТ НА ИЗПЪЛНЕНИЕТО</w:t>
      </w:r>
    </w:p>
    <w:p w:rsidR="007F2EA4" w:rsidRPr="007F2EA4" w:rsidRDefault="007F2EA4" w:rsidP="001651EF">
      <w:pPr>
        <w:spacing w:before="100" w:beforeAutospacing="1" w:after="45" w:afterAutospacing="1" w:line="240" w:lineRule="auto"/>
        <w:ind w:right="105" w:firstLine="567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</w:pP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Процесът на наблюдение изпълнението на програмата за енергийна ефективност се осъществява от АУЕР. В съответствие с чл. 12, ал.</w:t>
      </w:r>
      <w:r w:rsidRPr="007F2EA4">
        <w:rPr>
          <w:rFonts w:ascii="Times New Roman" w:eastAsia="Times New Roman" w:hAnsi="Times New Roman" w:cs="Times New Roman"/>
          <w:bCs/>
          <w:color w:val="FF0000"/>
          <w:sz w:val="24"/>
          <w:szCs w:val="24"/>
          <w:bdr w:val="none" w:sz="0" w:space="0" w:color="auto" w:frame="1"/>
          <w:lang w:eastAsia="bg-BG"/>
        </w:rPr>
        <w:t xml:space="preserve"> </w:t>
      </w:r>
      <w:r w:rsidRPr="007F2EA4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bg-BG"/>
        </w:rPr>
        <w:t>7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от З</w:t>
      </w:r>
      <w:r w:rsidR="00FD21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акон за енергийната ефективност, И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зпълнителният директор на А</w:t>
      </w:r>
      <w:r w:rsidR="00FD21CF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>генцията по устойчивото енергийно развитие</w:t>
      </w:r>
      <w:r w:rsidRPr="007F2EA4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bg-BG"/>
        </w:rPr>
        <w:t xml:space="preserve"> утвърждава образец на отчет за изпълнението на дейностите и мерките от програмите по енергийна ефективност. Изготвените отчети се представят на хартиен и магнитен носител в АУЕР не по-късно от 1 март и се публикуват на интернет страниците на съответните държавни и местни органи.</w:t>
      </w:r>
    </w:p>
    <w:p w:rsidR="007F2EA4" w:rsidRPr="007F2EA4" w:rsidRDefault="007F2EA4" w:rsidP="001651EF">
      <w:pPr>
        <w:rPr>
          <w:lang w:val="en-US"/>
        </w:rPr>
      </w:pPr>
    </w:p>
    <w:sectPr w:rsidR="007F2EA4" w:rsidRPr="007F2E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7C7" w:rsidRDefault="000657C7" w:rsidP="004C0063">
      <w:pPr>
        <w:spacing w:after="0" w:line="240" w:lineRule="auto"/>
      </w:pPr>
      <w:r>
        <w:separator/>
      </w:r>
    </w:p>
  </w:endnote>
  <w:endnote w:type="continuationSeparator" w:id="0">
    <w:p w:rsidR="000657C7" w:rsidRDefault="000657C7" w:rsidP="004C0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7C7" w:rsidRDefault="000657C7" w:rsidP="004C0063">
      <w:pPr>
        <w:spacing w:after="0" w:line="240" w:lineRule="auto"/>
      </w:pPr>
      <w:r>
        <w:separator/>
      </w:r>
    </w:p>
  </w:footnote>
  <w:footnote w:type="continuationSeparator" w:id="0">
    <w:p w:rsidR="000657C7" w:rsidRDefault="000657C7" w:rsidP="004C0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34CF8"/>
    <w:multiLevelType w:val="hybridMultilevel"/>
    <w:tmpl w:val="0038DE24"/>
    <w:lvl w:ilvl="0" w:tplc="171AC0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F6D797C"/>
    <w:multiLevelType w:val="hybridMultilevel"/>
    <w:tmpl w:val="A350BA46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06A5290"/>
    <w:multiLevelType w:val="hybridMultilevel"/>
    <w:tmpl w:val="36163AC2"/>
    <w:lvl w:ilvl="0" w:tplc="0402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" w15:restartNumberingAfterBreak="0">
    <w:nsid w:val="1485547D"/>
    <w:multiLevelType w:val="hybridMultilevel"/>
    <w:tmpl w:val="263AE560"/>
    <w:lvl w:ilvl="0" w:tplc="7ACED5F2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18855F22"/>
    <w:multiLevelType w:val="hybridMultilevel"/>
    <w:tmpl w:val="514420F0"/>
    <w:lvl w:ilvl="0" w:tplc="71F439EA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A7745B"/>
    <w:multiLevelType w:val="hybridMultilevel"/>
    <w:tmpl w:val="6E5C53B0"/>
    <w:lvl w:ilvl="0" w:tplc="6CAA4D14">
      <w:start w:val="6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 w15:restartNumberingAfterBreak="0">
    <w:nsid w:val="1BD165AD"/>
    <w:multiLevelType w:val="hybridMultilevel"/>
    <w:tmpl w:val="F8580AE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D6201F2"/>
    <w:multiLevelType w:val="hybridMultilevel"/>
    <w:tmpl w:val="74FA3B78"/>
    <w:lvl w:ilvl="0" w:tplc="5B0A071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0546B40"/>
    <w:multiLevelType w:val="hybridMultilevel"/>
    <w:tmpl w:val="1DA48C30"/>
    <w:lvl w:ilvl="0" w:tplc="28C67BAE">
      <w:numFmt w:val="bullet"/>
      <w:lvlText w:val="-"/>
      <w:lvlJc w:val="left"/>
      <w:pPr>
        <w:ind w:left="1332" w:hanging="765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23B21617"/>
    <w:multiLevelType w:val="hybridMultilevel"/>
    <w:tmpl w:val="99F84A40"/>
    <w:lvl w:ilvl="0" w:tplc="0402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7495985"/>
    <w:multiLevelType w:val="hybridMultilevel"/>
    <w:tmpl w:val="68E8EB1C"/>
    <w:lvl w:ilvl="0" w:tplc="C3BCB17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98105A8"/>
    <w:multiLevelType w:val="hybridMultilevel"/>
    <w:tmpl w:val="44002C9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E621E6B"/>
    <w:multiLevelType w:val="hybridMultilevel"/>
    <w:tmpl w:val="D5388062"/>
    <w:lvl w:ilvl="0" w:tplc="8F342F1C">
      <w:numFmt w:val="bullet"/>
      <w:lvlText w:val="-"/>
      <w:lvlJc w:val="left"/>
      <w:pPr>
        <w:ind w:left="1287" w:hanging="72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E885FE6"/>
    <w:multiLevelType w:val="hybridMultilevel"/>
    <w:tmpl w:val="9544B6BA"/>
    <w:lvl w:ilvl="0" w:tplc="0D106740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2ECE5442"/>
    <w:multiLevelType w:val="hybridMultilevel"/>
    <w:tmpl w:val="B5D06EA0"/>
    <w:lvl w:ilvl="0" w:tplc="BE8CB6C8">
      <w:numFmt w:val="bullet"/>
      <w:lvlText w:val="-"/>
      <w:lvlJc w:val="left"/>
      <w:pPr>
        <w:ind w:left="1317" w:hanging="75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0100942"/>
    <w:multiLevelType w:val="hybridMultilevel"/>
    <w:tmpl w:val="A9E6735E"/>
    <w:lvl w:ilvl="0" w:tplc="0402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3A005690"/>
    <w:multiLevelType w:val="hybridMultilevel"/>
    <w:tmpl w:val="3E1652EC"/>
    <w:lvl w:ilvl="0" w:tplc="0402000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7" w15:restartNumberingAfterBreak="0">
    <w:nsid w:val="3B9D3F60"/>
    <w:multiLevelType w:val="hybridMultilevel"/>
    <w:tmpl w:val="4C20F2CE"/>
    <w:lvl w:ilvl="0" w:tplc="9A7024E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42740CC6"/>
    <w:multiLevelType w:val="hybridMultilevel"/>
    <w:tmpl w:val="704C78A8"/>
    <w:lvl w:ilvl="0" w:tplc="7DCA19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647" w:hanging="360"/>
      </w:pPr>
    </w:lvl>
    <w:lvl w:ilvl="2" w:tplc="0402001B" w:tentative="1">
      <w:start w:val="1"/>
      <w:numFmt w:val="lowerRoman"/>
      <w:lvlText w:val="%3."/>
      <w:lvlJc w:val="right"/>
      <w:pPr>
        <w:ind w:left="2367" w:hanging="180"/>
      </w:pPr>
    </w:lvl>
    <w:lvl w:ilvl="3" w:tplc="0402000F" w:tentative="1">
      <w:start w:val="1"/>
      <w:numFmt w:val="decimal"/>
      <w:lvlText w:val="%4."/>
      <w:lvlJc w:val="left"/>
      <w:pPr>
        <w:ind w:left="3087" w:hanging="360"/>
      </w:pPr>
    </w:lvl>
    <w:lvl w:ilvl="4" w:tplc="04020019" w:tentative="1">
      <w:start w:val="1"/>
      <w:numFmt w:val="lowerLetter"/>
      <w:lvlText w:val="%5."/>
      <w:lvlJc w:val="left"/>
      <w:pPr>
        <w:ind w:left="3807" w:hanging="360"/>
      </w:pPr>
    </w:lvl>
    <w:lvl w:ilvl="5" w:tplc="0402001B" w:tentative="1">
      <w:start w:val="1"/>
      <w:numFmt w:val="lowerRoman"/>
      <w:lvlText w:val="%6."/>
      <w:lvlJc w:val="right"/>
      <w:pPr>
        <w:ind w:left="4527" w:hanging="180"/>
      </w:pPr>
    </w:lvl>
    <w:lvl w:ilvl="6" w:tplc="0402000F" w:tentative="1">
      <w:start w:val="1"/>
      <w:numFmt w:val="decimal"/>
      <w:lvlText w:val="%7."/>
      <w:lvlJc w:val="left"/>
      <w:pPr>
        <w:ind w:left="5247" w:hanging="360"/>
      </w:pPr>
    </w:lvl>
    <w:lvl w:ilvl="7" w:tplc="04020019" w:tentative="1">
      <w:start w:val="1"/>
      <w:numFmt w:val="lowerLetter"/>
      <w:lvlText w:val="%8."/>
      <w:lvlJc w:val="left"/>
      <w:pPr>
        <w:ind w:left="5967" w:hanging="360"/>
      </w:pPr>
    </w:lvl>
    <w:lvl w:ilvl="8" w:tplc="040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E9024B1"/>
    <w:multiLevelType w:val="hybridMultilevel"/>
    <w:tmpl w:val="977E529A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5F4856"/>
    <w:multiLevelType w:val="hybridMultilevel"/>
    <w:tmpl w:val="7DBCFABE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 w15:restartNumberingAfterBreak="0">
    <w:nsid w:val="50FB7496"/>
    <w:multiLevelType w:val="hybridMultilevel"/>
    <w:tmpl w:val="1B26DC96"/>
    <w:lvl w:ilvl="0" w:tplc="B39E3B8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2" w15:restartNumberingAfterBreak="0">
    <w:nsid w:val="53925281"/>
    <w:multiLevelType w:val="hybridMultilevel"/>
    <w:tmpl w:val="C8CA759A"/>
    <w:lvl w:ilvl="0" w:tplc="0402000D">
      <w:start w:val="1"/>
      <w:numFmt w:val="bullet"/>
      <w:lvlText w:val=""/>
      <w:lvlJc w:val="left"/>
      <w:pPr>
        <w:ind w:left="13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23" w15:restartNumberingAfterBreak="0">
    <w:nsid w:val="556301F2"/>
    <w:multiLevelType w:val="hybridMultilevel"/>
    <w:tmpl w:val="DEFCEF6A"/>
    <w:lvl w:ilvl="0" w:tplc="AAEE17A0">
      <w:start w:val="9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4" w15:restartNumberingAfterBreak="0">
    <w:nsid w:val="60CF2591"/>
    <w:multiLevelType w:val="hybridMultilevel"/>
    <w:tmpl w:val="C6C4E45E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81A001F"/>
    <w:multiLevelType w:val="hybridMultilevel"/>
    <w:tmpl w:val="86E8DE36"/>
    <w:lvl w:ilvl="0" w:tplc="0402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6" w15:restartNumberingAfterBreak="0">
    <w:nsid w:val="69484EAF"/>
    <w:multiLevelType w:val="hybridMultilevel"/>
    <w:tmpl w:val="C0E476BC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A0D3A5C"/>
    <w:multiLevelType w:val="hybridMultilevel"/>
    <w:tmpl w:val="08F61442"/>
    <w:lvl w:ilvl="0" w:tplc="CA9A13F6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8" w15:restartNumberingAfterBreak="0">
    <w:nsid w:val="6A150274"/>
    <w:multiLevelType w:val="hybridMultilevel"/>
    <w:tmpl w:val="7FF2E934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E60238E"/>
    <w:multiLevelType w:val="hybridMultilevel"/>
    <w:tmpl w:val="569038FA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F16608D"/>
    <w:multiLevelType w:val="hybridMultilevel"/>
    <w:tmpl w:val="0ABE9BB6"/>
    <w:lvl w:ilvl="0" w:tplc="CC66E8A2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2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1" w15:restartNumberingAfterBreak="0">
    <w:nsid w:val="754F3096"/>
    <w:multiLevelType w:val="hybridMultilevel"/>
    <w:tmpl w:val="423C8D20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D89421D"/>
    <w:multiLevelType w:val="hybridMultilevel"/>
    <w:tmpl w:val="B3A084B8"/>
    <w:lvl w:ilvl="0" w:tplc="040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5"/>
  </w:num>
  <w:num w:numId="3">
    <w:abstractNumId w:val="9"/>
  </w:num>
  <w:num w:numId="4">
    <w:abstractNumId w:val="22"/>
  </w:num>
  <w:num w:numId="5">
    <w:abstractNumId w:val="11"/>
  </w:num>
  <w:num w:numId="6">
    <w:abstractNumId w:val="14"/>
  </w:num>
  <w:num w:numId="7">
    <w:abstractNumId w:val="19"/>
  </w:num>
  <w:num w:numId="8">
    <w:abstractNumId w:val="10"/>
  </w:num>
  <w:num w:numId="9">
    <w:abstractNumId w:val="29"/>
  </w:num>
  <w:num w:numId="10">
    <w:abstractNumId w:val="17"/>
  </w:num>
  <w:num w:numId="11">
    <w:abstractNumId w:val="1"/>
  </w:num>
  <w:num w:numId="12">
    <w:abstractNumId w:val="3"/>
  </w:num>
  <w:num w:numId="13">
    <w:abstractNumId w:val="6"/>
  </w:num>
  <w:num w:numId="14">
    <w:abstractNumId w:val="21"/>
  </w:num>
  <w:num w:numId="15">
    <w:abstractNumId w:val="26"/>
  </w:num>
  <w:num w:numId="16">
    <w:abstractNumId w:val="7"/>
  </w:num>
  <w:num w:numId="17">
    <w:abstractNumId w:val="24"/>
  </w:num>
  <w:num w:numId="18">
    <w:abstractNumId w:val="4"/>
  </w:num>
  <w:num w:numId="19">
    <w:abstractNumId w:val="31"/>
  </w:num>
  <w:num w:numId="20">
    <w:abstractNumId w:val="27"/>
  </w:num>
  <w:num w:numId="21">
    <w:abstractNumId w:val="28"/>
  </w:num>
  <w:num w:numId="22">
    <w:abstractNumId w:val="8"/>
  </w:num>
  <w:num w:numId="23">
    <w:abstractNumId w:val="32"/>
  </w:num>
  <w:num w:numId="24">
    <w:abstractNumId w:val="12"/>
  </w:num>
  <w:num w:numId="25">
    <w:abstractNumId w:val="15"/>
  </w:num>
  <w:num w:numId="26">
    <w:abstractNumId w:val="13"/>
  </w:num>
  <w:num w:numId="27">
    <w:abstractNumId w:val="0"/>
  </w:num>
  <w:num w:numId="28">
    <w:abstractNumId w:val="18"/>
  </w:num>
  <w:num w:numId="29">
    <w:abstractNumId w:val="2"/>
  </w:num>
  <w:num w:numId="30">
    <w:abstractNumId w:val="23"/>
  </w:num>
  <w:num w:numId="31">
    <w:abstractNumId w:val="30"/>
  </w:num>
  <w:num w:numId="32">
    <w:abstractNumId w:val="16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09"/>
    <w:rsid w:val="00035085"/>
    <w:rsid w:val="00047586"/>
    <w:rsid w:val="000657C7"/>
    <w:rsid w:val="000B47BF"/>
    <w:rsid w:val="000B58B5"/>
    <w:rsid w:val="000C56D3"/>
    <w:rsid w:val="00103BFE"/>
    <w:rsid w:val="00107E8F"/>
    <w:rsid w:val="00113BEF"/>
    <w:rsid w:val="0011403C"/>
    <w:rsid w:val="00136BD4"/>
    <w:rsid w:val="00143584"/>
    <w:rsid w:val="001546C6"/>
    <w:rsid w:val="001651EF"/>
    <w:rsid w:val="00174EAC"/>
    <w:rsid w:val="001A7CDC"/>
    <w:rsid w:val="001B2D4B"/>
    <w:rsid w:val="001D77AE"/>
    <w:rsid w:val="001E1213"/>
    <w:rsid w:val="001F0F26"/>
    <w:rsid w:val="00201397"/>
    <w:rsid w:val="00204E4D"/>
    <w:rsid w:val="00223BCE"/>
    <w:rsid w:val="00224191"/>
    <w:rsid w:val="00224BA7"/>
    <w:rsid w:val="0025255C"/>
    <w:rsid w:val="00264D21"/>
    <w:rsid w:val="00281BB5"/>
    <w:rsid w:val="002B4E80"/>
    <w:rsid w:val="002C297F"/>
    <w:rsid w:val="002C44BA"/>
    <w:rsid w:val="002C7869"/>
    <w:rsid w:val="002E1057"/>
    <w:rsid w:val="002F55B2"/>
    <w:rsid w:val="003062DE"/>
    <w:rsid w:val="00317F6F"/>
    <w:rsid w:val="003330F7"/>
    <w:rsid w:val="00341909"/>
    <w:rsid w:val="0034445A"/>
    <w:rsid w:val="003500B9"/>
    <w:rsid w:val="003548E6"/>
    <w:rsid w:val="00385DB1"/>
    <w:rsid w:val="003B5AA4"/>
    <w:rsid w:val="003C4A18"/>
    <w:rsid w:val="003C7CB9"/>
    <w:rsid w:val="003D6697"/>
    <w:rsid w:val="003F1DDC"/>
    <w:rsid w:val="00400CB7"/>
    <w:rsid w:val="00401A3C"/>
    <w:rsid w:val="00430154"/>
    <w:rsid w:val="00440E3D"/>
    <w:rsid w:val="004542EF"/>
    <w:rsid w:val="00460545"/>
    <w:rsid w:val="004610E2"/>
    <w:rsid w:val="00465DAE"/>
    <w:rsid w:val="00473FD5"/>
    <w:rsid w:val="00486D75"/>
    <w:rsid w:val="0049482A"/>
    <w:rsid w:val="004B451E"/>
    <w:rsid w:val="004B7D91"/>
    <w:rsid w:val="004C0063"/>
    <w:rsid w:val="00511763"/>
    <w:rsid w:val="0052603F"/>
    <w:rsid w:val="00530A2E"/>
    <w:rsid w:val="00563538"/>
    <w:rsid w:val="005669E9"/>
    <w:rsid w:val="005A139A"/>
    <w:rsid w:val="005A4571"/>
    <w:rsid w:val="005D1390"/>
    <w:rsid w:val="00647471"/>
    <w:rsid w:val="0065153C"/>
    <w:rsid w:val="0065514D"/>
    <w:rsid w:val="00686431"/>
    <w:rsid w:val="006903F9"/>
    <w:rsid w:val="00691A8F"/>
    <w:rsid w:val="006A4DD7"/>
    <w:rsid w:val="006A5B47"/>
    <w:rsid w:val="006C4E30"/>
    <w:rsid w:val="006E773F"/>
    <w:rsid w:val="00701FE3"/>
    <w:rsid w:val="0070795C"/>
    <w:rsid w:val="00716A6C"/>
    <w:rsid w:val="007231D3"/>
    <w:rsid w:val="00744458"/>
    <w:rsid w:val="007568C7"/>
    <w:rsid w:val="007570CF"/>
    <w:rsid w:val="00772A2D"/>
    <w:rsid w:val="007C29B4"/>
    <w:rsid w:val="007C4B55"/>
    <w:rsid w:val="007F2EA4"/>
    <w:rsid w:val="00810B57"/>
    <w:rsid w:val="00820643"/>
    <w:rsid w:val="00841DA2"/>
    <w:rsid w:val="00846AA4"/>
    <w:rsid w:val="008502C3"/>
    <w:rsid w:val="00855532"/>
    <w:rsid w:val="008D027D"/>
    <w:rsid w:val="008F536E"/>
    <w:rsid w:val="0090121A"/>
    <w:rsid w:val="0091119A"/>
    <w:rsid w:val="00941224"/>
    <w:rsid w:val="00950EBC"/>
    <w:rsid w:val="00957C1C"/>
    <w:rsid w:val="00982627"/>
    <w:rsid w:val="009855C9"/>
    <w:rsid w:val="009C4E41"/>
    <w:rsid w:val="009F6499"/>
    <w:rsid w:val="009F6C46"/>
    <w:rsid w:val="00A02E24"/>
    <w:rsid w:val="00A226DB"/>
    <w:rsid w:val="00A24463"/>
    <w:rsid w:val="00AB531F"/>
    <w:rsid w:val="00AC5988"/>
    <w:rsid w:val="00AE0342"/>
    <w:rsid w:val="00AF2000"/>
    <w:rsid w:val="00AF5FEE"/>
    <w:rsid w:val="00B01788"/>
    <w:rsid w:val="00B07685"/>
    <w:rsid w:val="00B07C5F"/>
    <w:rsid w:val="00B1040D"/>
    <w:rsid w:val="00B25C95"/>
    <w:rsid w:val="00B47869"/>
    <w:rsid w:val="00BC7B9C"/>
    <w:rsid w:val="00BE0A13"/>
    <w:rsid w:val="00C00944"/>
    <w:rsid w:val="00C145BC"/>
    <w:rsid w:val="00C24636"/>
    <w:rsid w:val="00C37A84"/>
    <w:rsid w:val="00C406DC"/>
    <w:rsid w:val="00C43352"/>
    <w:rsid w:val="00C53385"/>
    <w:rsid w:val="00C62B15"/>
    <w:rsid w:val="00C63FD9"/>
    <w:rsid w:val="00C6708D"/>
    <w:rsid w:val="00CB1147"/>
    <w:rsid w:val="00CB546E"/>
    <w:rsid w:val="00D01EA0"/>
    <w:rsid w:val="00D063FD"/>
    <w:rsid w:val="00D13FC9"/>
    <w:rsid w:val="00D21530"/>
    <w:rsid w:val="00D356C3"/>
    <w:rsid w:val="00D43AF0"/>
    <w:rsid w:val="00D535C4"/>
    <w:rsid w:val="00D62406"/>
    <w:rsid w:val="00D93698"/>
    <w:rsid w:val="00D97B28"/>
    <w:rsid w:val="00DA6071"/>
    <w:rsid w:val="00DB50AA"/>
    <w:rsid w:val="00DC3656"/>
    <w:rsid w:val="00E0477D"/>
    <w:rsid w:val="00E243DF"/>
    <w:rsid w:val="00E33E4A"/>
    <w:rsid w:val="00E6642F"/>
    <w:rsid w:val="00E71388"/>
    <w:rsid w:val="00E9361A"/>
    <w:rsid w:val="00EB16AD"/>
    <w:rsid w:val="00EB2C66"/>
    <w:rsid w:val="00EC7EA5"/>
    <w:rsid w:val="00EE2668"/>
    <w:rsid w:val="00F143DA"/>
    <w:rsid w:val="00F25B1C"/>
    <w:rsid w:val="00F30CD5"/>
    <w:rsid w:val="00F4075A"/>
    <w:rsid w:val="00F760C4"/>
    <w:rsid w:val="00F911D6"/>
    <w:rsid w:val="00F97092"/>
    <w:rsid w:val="00FC70A9"/>
    <w:rsid w:val="00FD21CF"/>
    <w:rsid w:val="00FE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02B164-2A66-4F89-A801-7C37AB70F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E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7F2E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8B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7">
    <w:name w:val="Горен колонтитул Знак"/>
    <w:basedOn w:val="a0"/>
    <w:link w:val="a6"/>
    <w:uiPriority w:val="99"/>
    <w:rsid w:val="004C0063"/>
  </w:style>
  <w:style w:type="paragraph" w:styleId="a8">
    <w:name w:val="footer"/>
    <w:basedOn w:val="a"/>
    <w:link w:val="a9"/>
    <w:uiPriority w:val="99"/>
    <w:unhideWhenUsed/>
    <w:rsid w:val="004C00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9">
    <w:name w:val="Долен колонтитул Знак"/>
    <w:basedOn w:val="a0"/>
    <w:link w:val="a8"/>
    <w:uiPriority w:val="99"/>
    <w:rsid w:val="004C00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AE5CA-DAF7-4462-8ADA-69F2B0E93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4507</Words>
  <Characters>25692</Characters>
  <Application>Microsoft Office Word</Application>
  <DocSecurity>0</DocSecurity>
  <Lines>214</Lines>
  <Paragraphs>60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Dimka Ivanova</dc:creator>
  <cp:lastModifiedBy>Dimka Ivanova</cp:lastModifiedBy>
  <cp:revision>2</cp:revision>
  <cp:lastPrinted>2020-02-05T13:20:00Z</cp:lastPrinted>
  <dcterms:created xsi:type="dcterms:W3CDTF">2025-01-17T11:15:00Z</dcterms:created>
  <dcterms:modified xsi:type="dcterms:W3CDTF">2025-01-17T11:15:00Z</dcterms:modified>
</cp:coreProperties>
</file>